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FORM10-K</w:t>
      </w:r>
    </w:p>
    <w:p>
      <w:pPr>
        <w:spacing w:after="0" w:line="24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8" w:lineRule="exact"/>
        <w:rPr>
          <w:rFonts w:ascii="MS PGothic" w:cs="MS PGothic" w:eastAsia="MS PGothic" w:hAnsi="MS PGothic"/>
          <w:sz w:val="21"/>
          <w:szCs w:val="21"/>
          <w:color w:val="auto"/>
        </w:rPr>
      </w:pPr>
    </w:p>
    <w:p>
      <w:pPr>
        <w:ind w:left="5540"/>
        <w:spacing w:after="0"/>
        <w:rPr>
          <w:rFonts w:ascii="MS PGothic" w:cs="MS PGothic" w:eastAsia="MS PGothic" w:hAnsi="MS PGothic"/>
          <w:sz w:val="21"/>
          <w:szCs w:val="21"/>
          <w:color w:val="auto"/>
        </w:rPr>
      </w:pPr>
      <w:r>
        <w:rPr>
          <w:rFonts w:ascii="Times New Roman" w:cs="Times New Roman" w:eastAsia="Times New Roman" w:hAnsi="Times New Roman"/>
          <w:sz w:val="20"/>
          <w:szCs w:val="20"/>
          <w:color w:val="auto"/>
        </w:rPr>
        <w:t>or</w:t>
      </w:r>
    </w:p>
    <w:p>
      <w:pPr>
        <w:spacing w:after="0" w:line="125" w:lineRule="exact"/>
        <w:rPr>
          <w:rFonts w:ascii="MS PGothic" w:cs="MS PGothic" w:eastAsia="MS PGothic" w:hAnsi="MS PGothic"/>
          <w:sz w:val="21"/>
          <w:szCs w:val="21"/>
          <w:color w:val="auto"/>
        </w:rPr>
      </w:pPr>
    </w:p>
    <w:p>
      <w:pPr>
        <w:ind w:left="400" w:right="320" w:hanging="340"/>
        <w:spacing w:after="0" w:line="238" w:lineRule="auto"/>
        <w:tabs>
          <w:tab w:leader="none" w:pos="40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9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2025</w:t>
      </w:r>
    </w:p>
    <w:p>
      <w:pPr>
        <w:spacing w:after="0" w:line="22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Commission File Number: 001-36771</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LendingClub Corporation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52" w:orient="portrait"/>
          <w:cols w:equalWidth="0" w:num="1">
            <w:col w:w="11220"/>
          </w:cols>
          <w:pgMar w:left="320" w:top="1051" w:right="359" w:bottom="0" w:gutter="0" w:footer="0" w:header="0"/>
        </w:sectPr>
      </w:pPr>
    </w:p>
    <w:p>
      <w:pPr>
        <w:spacing w:after="0" w:line="23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51-0605731</w:t>
      </w:r>
    </w:p>
    <w:p>
      <w:pPr>
        <w:spacing w:after="0" w:line="27" w:lineRule="exact"/>
        <w:rPr>
          <w:sz w:val="24"/>
          <w:szCs w:val="24"/>
          <w:color w:val="auto"/>
        </w:rPr>
      </w:pPr>
    </w:p>
    <w:p>
      <w:pPr>
        <w:sectPr>
          <w:pgSz w:w="11900" w:h="16852" w:orient="portrait"/>
          <w:cols w:equalWidth="0" w:num="2">
            <w:col w:w="7820" w:space="720"/>
            <w:col w:w="2680"/>
          </w:cols>
          <w:pgMar w:left="320" w:top="1051" w:right="359" w:bottom="0" w:gutter="0" w:footer="0" w:header="0"/>
          <w:type w:val="continuous"/>
        </w:sectPr>
      </w:pPr>
    </w:p>
    <w:p>
      <w:pPr>
        <w:ind w:left="13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3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52" w:orient="portrait"/>
          <w:cols w:equalWidth="0" w:num="2">
            <w:col w:w="7660" w:space="720"/>
            <w:col w:w="2840"/>
          </w:cols>
          <w:pgMar w:left="320" w:top="1051" w:right="359" w:bottom="0" w:gutter="0" w:footer="0" w:header="0"/>
          <w:type w:val="continuous"/>
        </w:sectPr>
      </w:pPr>
    </w:p>
    <w:p>
      <w:pPr>
        <w:spacing w:after="0" w:line="6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595 Market Street, Suite 200,</w:t>
      </w:r>
    </w:p>
    <w:p>
      <w:pPr>
        <w:sectPr>
          <w:pgSz w:w="11900" w:h="16852" w:orient="portrait"/>
          <w:cols w:equalWidth="0" w:num="1">
            <w:col w:w="11220"/>
          </w:cols>
          <w:pgMar w:left="320" w:top="1051" w:right="359" w:bottom="0" w:gutter="0" w:footer="0" w:header="0"/>
          <w:type w:val="continuous"/>
        </w:sectPr>
      </w:pPr>
    </w:p>
    <w:p>
      <w:pPr>
        <w:spacing w:after="0" w:line="8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San Francisco,</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CA</w:t>
        <w:tab/>
        <w:t>94105</w:t>
      </w:r>
    </w:p>
    <w:p>
      <w:pPr>
        <w:spacing w:after="0" w:line="31" w:lineRule="exact"/>
        <w:rPr>
          <w:sz w:val="24"/>
          <w:szCs w:val="24"/>
          <w:color w:val="auto"/>
        </w:rPr>
      </w:pPr>
    </w:p>
    <w:p>
      <w:pPr>
        <w:sectPr>
          <w:pgSz w:w="11900" w:h="16852" w:orient="portrait"/>
          <w:cols w:equalWidth="0" w:num="2">
            <w:col w:w="5300" w:space="460"/>
            <w:col w:w="5460"/>
          </w:cols>
          <w:pgMar w:left="320" w:top="1051" w:right="35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 (415) 930-7440</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50"/>
        </w:trPr>
        <w:tc>
          <w:tcPr>
            <w:tcW w:w="36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80" w:type="dxa"/>
            <w:vAlign w:val="bottom"/>
          </w:tcPr>
          <w:p>
            <w:pPr>
              <w:spacing w:after="0"/>
              <w:rPr>
                <w:sz w:val="21"/>
                <w:szCs w:val="21"/>
                <w:color w:val="auto"/>
              </w:rPr>
            </w:pPr>
          </w:p>
        </w:tc>
        <w:tc>
          <w:tcPr>
            <w:tcW w:w="24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rPr>
              <w:t>LC</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2" w:lineRule="exact"/>
        <w:rPr>
          <w:sz w:val="24"/>
          <w:szCs w:val="24"/>
          <w:color w:val="auto"/>
        </w:rPr>
      </w:pPr>
    </w:p>
    <w:p>
      <w:pPr>
        <w:ind w:left="460"/>
        <w:spacing w:after="0" w:line="230" w:lineRule="exact"/>
        <w:tabs>
          <w:tab w:leader="none" w:pos="9920" w:val="left"/>
          <w:tab w:leader="none" w:pos="10640" w:val="left"/>
        </w:tabs>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ab/>
        <w:t xml:space="preserve">No </w:t>
      </w:r>
      <w:r>
        <w:rPr>
          <w:rFonts w:ascii="MS PGothic" w:cs="MS PGothic" w:eastAsia="MS PGothic" w:hAnsi="MS PGothic"/>
          <w:sz w:val="17"/>
          <w:szCs w:val="17"/>
          <w:color w:val="auto"/>
        </w:rPr>
        <w:t>☐</w:t>
      </w:r>
    </w:p>
    <w:p>
      <w:pPr>
        <w:spacing w:after="0" w:line="252" w:lineRule="exact"/>
        <w:rPr>
          <w:sz w:val="24"/>
          <w:szCs w:val="24"/>
          <w:color w:val="auto"/>
        </w:rPr>
      </w:pPr>
    </w:p>
    <w:p>
      <w:pPr>
        <w:ind w:right="1680" w:firstLine="445"/>
        <w:spacing w:after="0" w:line="262" w:lineRule="exact"/>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260" w:firstLine="445"/>
        <w:spacing w:after="0" w:line="271"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30" w:lineRule="exact"/>
        <w:tabs>
          <w:tab w:leader="none" w:pos="5580" w:val="left"/>
          <w:tab w:leader="none" w:pos="6300" w:val="left"/>
        </w:tabs>
        <w:rPr>
          <w:sz w:val="20"/>
          <w:szCs w:val="20"/>
          <w:color w:val="auto"/>
        </w:rPr>
      </w:pPr>
      <w:r>
        <w:rPr>
          <w:rFonts w:ascii="Times New Roman" w:cs="Times New Roman" w:eastAsia="Times New Roman" w:hAnsi="Times New Roman"/>
          <w:sz w:val="20"/>
          <w:szCs w:val="20"/>
          <w:color w:val="auto"/>
        </w:rPr>
        <w:t>(2) has been subject to such filing requirements for 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ab/>
        <w:t xml:space="preserve">No </w:t>
      </w:r>
      <w:r>
        <w:rPr>
          <w:rFonts w:ascii="MS PGothic" w:cs="MS PGothic" w:eastAsia="MS PGothic" w:hAnsi="MS PGothic"/>
          <w:sz w:val="17"/>
          <w:szCs w:val="17"/>
          <w:color w:val="auto"/>
        </w:rPr>
        <w:t>☐</w:t>
      </w:r>
    </w:p>
    <w:p>
      <w:pPr>
        <w:spacing w:after="0" w:line="207" w:lineRule="exact"/>
        <w:rPr>
          <w:sz w:val="24"/>
          <w:szCs w:val="24"/>
          <w:color w:val="auto"/>
        </w:rPr>
      </w:pPr>
    </w:p>
    <w:p>
      <w:pPr>
        <w:ind w:firstLine="445"/>
        <w:spacing w:after="0" w:line="251"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No </w:t>
      </w:r>
      <w:r>
        <w:rPr>
          <w:rFonts w:ascii="MS PGothic" w:cs="MS PGothic" w:eastAsia="MS PGothic" w:hAnsi="MS PGothic"/>
          <w:sz w:val="17"/>
          <w:szCs w:val="17"/>
          <w:color w:val="auto"/>
        </w:rPr>
        <w:t>☐</w:t>
      </w:r>
    </w:p>
    <w:p>
      <w:pPr>
        <w:spacing w:after="0" w:line="181" w:lineRule="exact"/>
        <w:rPr>
          <w:sz w:val="24"/>
          <w:szCs w:val="24"/>
          <w:color w:val="auto"/>
        </w:rPr>
      </w:pPr>
    </w:p>
    <w:p>
      <w:pPr>
        <w:ind w:right="20" w:firstLine="445"/>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32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20"/>
                <w:szCs w:val="20"/>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32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80" w:type="dxa"/>
            <w:vAlign w:val="bottom"/>
          </w:tcPr>
          <w:p>
            <w:pPr>
              <w:ind w:left="2460"/>
              <w:spacing w:after="0"/>
              <w:rPr>
                <w:sz w:val="20"/>
                <w:szCs w:val="20"/>
                <w:color w:val="auto"/>
              </w:rPr>
            </w:pPr>
            <w:r>
              <w:rPr>
                <w:rFonts w:ascii="Times New Roman" w:cs="Times New Roman" w:eastAsia="Times New Roman" w:hAnsi="Times New Roman"/>
                <w:sz w:val="20"/>
                <w:szCs w:val="20"/>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0" w:lineRule="exact"/>
        <w:rPr>
          <w:sz w:val="24"/>
          <w:szCs w:val="24"/>
          <w:color w:val="auto"/>
        </w:rPr>
      </w:pPr>
    </w:p>
    <w:p>
      <w:pPr>
        <w:ind w:right="600" w:firstLine="445"/>
        <w:spacing w:after="0" w:line="269"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173" w:lineRule="exact"/>
        <w:rPr>
          <w:sz w:val="24"/>
          <w:szCs w:val="24"/>
          <w:color w:val="auto"/>
        </w:rPr>
      </w:pPr>
    </w:p>
    <w:p>
      <w:pPr>
        <w:ind w:right="160" w:firstLine="445"/>
        <w:spacing w:after="0" w:line="310"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ectPr>
          <w:pgSz w:w="11900" w:h="16852" w:orient="portrait"/>
          <w:cols w:equalWidth="0" w:num="1">
            <w:col w:w="11220"/>
          </w:cols>
          <w:pgMar w:left="320" w:top="1051" w:right="359" w:bottom="0" w:gutter="0" w:footer="0" w:header="0"/>
          <w:type w:val="continuous"/>
        </w:sectPr>
      </w:pPr>
    </w:p>
    <w:bookmarkStart w:id="1" w:name="page2"/>
    <w:bookmarkEnd w:id="1"/>
    <w:p>
      <w:pPr>
        <w:spacing w:after="0" w:line="230" w:lineRule="exact"/>
        <w:rPr>
          <w:sz w:val="20"/>
          <w:szCs w:val="20"/>
          <w:color w:val="auto"/>
        </w:rPr>
      </w:pPr>
      <w:r>
        <w:rPr>
          <w:rFonts w:ascii="Times New Roman" w:cs="Times New Roman" w:eastAsia="Times New Roman" w:hAnsi="Times New Roman"/>
          <w:sz w:val="20"/>
          <w:szCs w:val="20"/>
          <w:color w:val="auto"/>
        </w:rPr>
        <w:t xml:space="preserve">accounting firm that prepared or issued its audit report. </w:t>
      </w:r>
      <w:r>
        <w:rPr>
          <w:rFonts w:ascii="MS PGothic" w:cs="MS PGothic" w:eastAsia="MS PGothic" w:hAnsi="MS PGothic"/>
          <w:sz w:val="17"/>
          <w:szCs w:val="17"/>
          <w:color w:val="auto"/>
        </w:rPr>
        <w:t>☒</w:t>
      </w:r>
    </w:p>
    <w:p>
      <w:pPr>
        <w:spacing w:after="0" w:line="252" w:lineRule="exact"/>
        <w:rPr>
          <w:sz w:val="20"/>
          <w:szCs w:val="20"/>
          <w:color w:val="auto"/>
        </w:rPr>
      </w:pPr>
    </w:p>
    <w:p>
      <w:pPr>
        <w:ind w:right="760" w:firstLine="445"/>
        <w:spacing w:after="0" w:line="269"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o</w:t>
      </w:r>
    </w:p>
    <w:p>
      <w:pPr>
        <w:spacing w:after="0" w:line="173" w:lineRule="exact"/>
        <w:rPr>
          <w:sz w:val="20"/>
          <w:szCs w:val="20"/>
          <w:color w:val="auto"/>
        </w:rPr>
      </w:pPr>
    </w:p>
    <w:p>
      <w:pPr>
        <w:ind w:right="380" w:firstLine="445"/>
        <w:spacing w:after="0" w:line="295" w:lineRule="auto"/>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9"/>
          <w:szCs w:val="19"/>
          <w:b w:val="1"/>
          <w:bCs w:val="1"/>
          <w:color w:val="auto"/>
        </w:rPr>
        <w:t>o</w:t>
      </w:r>
    </w:p>
    <w:p>
      <w:pPr>
        <w:spacing w:after="0" w:line="129" w:lineRule="exact"/>
        <w:rPr>
          <w:sz w:val="20"/>
          <w:szCs w:val="20"/>
          <w:color w:val="auto"/>
        </w:rPr>
      </w:pPr>
    </w:p>
    <w:p>
      <w:pPr>
        <w:ind w:left="460"/>
        <w:spacing w:after="0" w:line="230" w:lineRule="exact"/>
        <w:tabs>
          <w:tab w:leader="none" w:pos="8780" w:val="left"/>
          <w:tab w:leader="none" w:pos="950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ab/>
        <w:t xml:space="preserve">No </w:t>
      </w:r>
      <w:r>
        <w:rPr>
          <w:rFonts w:ascii="MS PGothic" w:cs="MS PGothic" w:eastAsia="MS PGothic" w:hAnsi="MS PGothic"/>
          <w:sz w:val="17"/>
          <w:szCs w:val="17"/>
          <w:color w:val="auto"/>
        </w:rPr>
        <w:t>☒</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equity held by non-affiliates of the registrant as of June 30, 2025, the last business day of the registrant’s most recently completed second fiscal quarter, was $1,205,883,976 based on the closing price reported for such date on the New York Stock Exchange.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January 30, 2026, there were 115,180,598 shares of the registrant’s common stock outstanding.</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the Registrant’s 2026 Annual Meeting of Stockholders are incorporated by reference into Part III of this Annual Report on Form 10-K to the extent stated herein. Such Definitive Proxy Statement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160" w:type="dxa"/>
            <w:vAlign w:val="bottom"/>
            <w:gridSpan w:val="12"/>
          </w:tcPr>
          <w:p>
            <w:pPr>
              <w:jc w:val="center"/>
              <w:ind w:right="2580"/>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60" w:type="dxa"/>
            <w:vAlign w:val="bottom"/>
            <w:gridSpan w:val="12"/>
          </w:tcPr>
          <w:p>
            <w:pPr>
              <w:jc w:val="center"/>
              <w:ind w:right="2580"/>
              <w:spacing w:after="0"/>
              <w:rPr>
                <w:sz w:val="20"/>
                <w:szCs w:val="20"/>
                <w:color w:val="auto"/>
              </w:rPr>
            </w:pPr>
            <w:r>
              <w:rPr>
                <w:rFonts w:ascii="Times New Roman" w:cs="Times New Roman" w:eastAsia="Times New Roman" w:hAnsi="Times New Roman"/>
                <w:sz w:val="20"/>
                <w:szCs w:val="20"/>
                <w:b w:val="1"/>
                <w:bCs w:val="1"/>
                <w:color w:val="auto"/>
                <w:w w:val="98"/>
              </w:rPr>
              <w:t>For Fiscal Year Ended December 31, 2025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2"/>
          </w:tcPr>
          <w:p>
            <w:pPr>
              <w:jc w:val="center"/>
              <w:ind w:right="260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w w:val="97"/>
              </w:rPr>
              <w:t>Glossary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980" w:type="dxa"/>
            <w:vAlign w:val="bottom"/>
            <w:gridSpan w:val="3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Forward-looking Statements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PART I</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Business</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700" w:type="dxa"/>
            <w:vAlign w:val="bottom"/>
            <w:gridSpan w:val="6"/>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1A.</w:t>
            </w: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Risk Factors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30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1"/>
              </w:rPr>
              <w:t>1B.</w:t>
            </w:r>
          </w:p>
        </w:tc>
        <w:tc>
          <w:tcPr>
            <w:tcW w:w="400" w:type="dxa"/>
            <w:vAlign w:val="bottom"/>
            <w:gridSpan w:val="2"/>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Unresolved Staff Comments</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700" w:type="dxa"/>
            <w:vAlign w:val="bottom"/>
            <w:gridSpan w:val="6"/>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1C.</w:t>
            </w: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Cybersecurity</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Properties</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Legal Proceedings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Mine Safety Disclosures</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Market for Registrant’s Common Equity, Related Stockholder Matters and Issuer Purchases of</w:t>
            </w:r>
          </w:p>
        </w:tc>
        <w:tc>
          <w:tcPr>
            <w:tcW w:w="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rPr>
              <w:t>53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4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Equity Securities</w:t>
            </w:r>
          </w:p>
        </w:tc>
        <w:tc>
          <w:tcPr>
            <w:tcW w:w="4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0"/>
                <w:szCs w:val="20"/>
                <w:b w:val="1"/>
                <w:bCs w:val="1"/>
                <w:color w:val="0000FF"/>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520" w:type="dxa"/>
            <w:vAlign w:val="bottom"/>
            <w:gridSpan w:val="27"/>
            <w:shd w:val="clear" w:color="auto" w:fill="CCEEFF"/>
          </w:tcPr>
          <w:p>
            <w:pPr>
              <w:spacing w:after="0" w:line="216" w:lineRule="exact"/>
              <w:rPr>
                <w:sz w:val="20"/>
                <w:szCs w:val="20"/>
                <w:color w:val="auto"/>
              </w:rPr>
            </w:pPr>
            <w:r>
              <w:rPr>
                <w:rFonts w:ascii="Times New Roman" w:cs="Times New Roman" w:eastAsia="Times New Roman" w:hAnsi="Times New Roman"/>
                <w:sz w:val="20"/>
                <w:szCs w:val="20"/>
                <w:b w:val="1"/>
                <w:bCs w:val="1"/>
                <w:color w:val="0000FF"/>
              </w:rPr>
              <w:t>[Reserved]</w:t>
            </w:r>
          </w:p>
        </w:tc>
        <w:tc>
          <w:tcPr>
            <w:tcW w:w="800" w:type="dxa"/>
            <w:vAlign w:val="bottom"/>
            <w:gridSpan w:val="4"/>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0000FF"/>
              </w:rPr>
              <w:t>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Management’s Discussion and Analysis of Financial Condition and Results of Operations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56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700" w:type="dxa"/>
            <w:vAlign w:val="bottom"/>
            <w:gridSpan w:val="6"/>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7A.</w:t>
            </w: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Quantitative and Qualitative Disclosures About Market Risk</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82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Financial Statements and Supplementary Data</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82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Changes in and Disagreements With Accountants on Accounting and Financial Disclosure</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700" w:type="dxa"/>
            <w:vAlign w:val="bottom"/>
            <w:gridSpan w:val="6"/>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9A.</w:t>
            </w: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Controls and Procedures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300" w:type="dxa"/>
            <w:vAlign w:val="bottom"/>
            <w:gridSpan w:val="4"/>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1"/>
              </w:rPr>
              <w:t>9B.</w:t>
            </w:r>
          </w:p>
        </w:tc>
        <w:tc>
          <w:tcPr>
            <w:tcW w:w="400" w:type="dxa"/>
            <w:vAlign w:val="bottom"/>
            <w:gridSpan w:val="2"/>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Other Information</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700" w:type="dxa"/>
            <w:vAlign w:val="bottom"/>
            <w:gridSpan w:val="6"/>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9C.</w:t>
            </w: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Disclosure Regarding Foreign Jurisdictions that Prevent Inspections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gridSpan w:val="10"/>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PART III</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Directors, Executive Officers and Corporate Governance</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Executive Compensation</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Security Ownership of Certain Beneficial Owners and Management and Related Stockholder</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right w:val="single" w:sz="8" w:color="CCEEFF"/>
            </w:tcBorders>
            <w:shd w:val="clear" w:color="auto" w:fill="CCEEFF"/>
          </w:tcPr>
          <w:p>
            <w:pPr>
              <w:spacing w:after="0"/>
              <w:rPr>
                <w:sz w:val="16"/>
                <w:szCs w:val="16"/>
                <w:color w:val="auto"/>
              </w:rPr>
            </w:pPr>
          </w:p>
        </w:tc>
        <w:tc>
          <w:tcPr>
            <w:tcW w:w="7800" w:type="dxa"/>
            <w:vAlign w:val="bottom"/>
            <w:tcBorders>
              <w:top w:val="single" w:sz="8" w:color="0000FF"/>
            </w:tcBorders>
            <w:gridSpan w:val="2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Matters</w:t>
            </w:r>
          </w:p>
        </w:tc>
        <w:tc>
          <w:tcPr>
            <w:tcW w:w="680" w:type="dxa"/>
            <w:vAlign w:val="bottom"/>
            <w:tcBorders>
              <w:top w:val="single" w:sz="8" w:color="CCEEFF"/>
            </w:tcBorders>
            <w:gridSpan w:val="2"/>
            <w:shd w:val="clear" w:color="auto" w:fill="CCEEFF"/>
          </w:tcPr>
          <w:p>
            <w:pPr>
              <w:spacing w:after="0"/>
              <w:rPr>
                <w:sz w:val="16"/>
                <w:szCs w:val="16"/>
                <w:color w:val="auto"/>
              </w:rPr>
            </w:pPr>
          </w:p>
        </w:tc>
        <w:tc>
          <w:tcPr>
            <w:tcW w:w="800" w:type="dxa"/>
            <w:vAlign w:val="bottom"/>
            <w:tcBorders>
              <w:top w:val="single" w:sz="8" w:color="CCEEFF"/>
            </w:tcBorders>
            <w:gridSpan w:val="4"/>
            <w:vMerge w:val="continue"/>
            <w:shd w:val="clear" w:color="auto" w:fill="CCEEFF"/>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0000FF"/>
                <w:w w:val="87"/>
              </w:rPr>
              <w:t>13.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197" w:lineRule="exact"/>
              <w:rPr>
                <w:sz w:val="20"/>
                <w:szCs w:val="20"/>
                <w:color w:val="auto"/>
              </w:rPr>
            </w:pPr>
            <w:r>
              <w:rPr>
                <w:rFonts w:ascii="Times New Roman" w:cs="Times New Roman" w:eastAsia="Times New Roman" w:hAnsi="Times New Roman"/>
                <w:sz w:val="20"/>
                <w:szCs w:val="20"/>
                <w:b w:val="1"/>
                <w:bCs w:val="1"/>
                <w:color w:val="0000FF"/>
              </w:rPr>
              <w:t>Certain Relationships and Related Transactions, and Director Independence</w:t>
            </w:r>
          </w:p>
        </w:tc>
        <w:tc>
          <w:tcPr>
            <w:tcW w:w="800" w:type="dxa"/>
            <w:vAlign w:val="bottom"/>
            <w:gridSpan w:val="4"/>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Principal Accountant Fees and Services</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w w:val="95"/>
              </w:rPr>
              <w:t>PART IV</w:t>
            </w:r>
          </w:p>
        </w:tc>
        <w:tc>
          <w:tcPr>
            <w:tcW w:w="660" w:type="dxa"/>
            <w:vAlign w:val="bottom"/>
            <w:gridSpan w:val="5"/>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gridSpan w:val="27"/>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Exhibits and Financial Statement Schedules</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99"/>
              </w:rPr>
              <w:t>Item</w:t>
            </w:r>
          </w:p>
        </w:tc>
        <w:tc>
          <w:tcPr>
            <w:tcW w:w="2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w w:val="87"/>
              </w:rPr>
              <w:t>16.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52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0000FF"/>
              </w:rPr>
              <w:t>Form 10-K Summary</w:t>
            </w: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9"/>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Signatures</w:t>
            </w:r>
          </w:p>
        </w:tc>
        <w:tc>
          <w:tcPr>
            <w:tcW w:w="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148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36"/>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0000FF"/>
              </w:rPr>
              <w:t>Exhibit Index</w:t>
            </w:r>
          </w:p>
        </w:tc>
        <w:tc>
          <w:tcPr>
            <w:tcW w:w="8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0000FF"/>
              </w:rPr>
              <w:t>150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list of common acronyms and terms LendingClub Corporation regularly uses in its financial reporting: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ACL</w:t>
            </w:r>
          </w:p>
        </w:tc>
        <w:tc>
          <w:tcPr>
            <w:tcW w:w="8480" w:type="dxa"/>
            <w:vAlign w:val="bottom"/>
            <w:tcBorders>
              <w:top w:val="single" w:sz="8" w:color="auto"/>
            </w:tcBorders>
            <w:shd w:val="clear" w:color="auto" w:fill="CCEEFF"/>
          </w:tcPr>
          <w:p>
            <w:pPr>
              <w:ind w:left="160"/>
              <w:spacing w:after="0" w:line="207" w:lineRule="exact"/>
              <w:rPr>
                <w:sz w:val="20"/>
                <w:szCs w:val="20"/>
                <w:color w:val="auto"/>
              </w:rPr>
            </w:pPr>
            <w:r>
              <w:rPr>
                <w:rFonts w:ascii="Times New Roman" w:cs="Times New Roman" w:eastAsia="Times New Roman" w:hAnsi="Times New Roman"/>
                <w:sz w:val="20"/>
                <w:szCs w:val="20"/>
                <w:color w:val="auto"/>
              </w:rPr>
              <w:t>Allowance for Credit Losses (includes both the allowance for loan and lease losses, allowance for</w:t>
            </w:r>
          </w:p>
        </w:tc>
        <w:tc>
          <w:tcPr>
            <w:tcW w:w="0" w:type="dxa"/>
            <w:vAlign w:val="bottom"/>
          </w:tcPr>
          <w:p>
            <w:pPr>
              <w:spacing w:after="0"/>
              <w:rPr>
                <w:sz w:val="1"/>
                <w:szCs w:val="1"/>
                <w:color w:val="auto"/>
              </w:rPr>
            </w:pPr>
          </w:p>
        </w:tc>
      </w:tr>
      <w:tr>
        <w:trPr>
          <w:trHeight w:val="252"/>
        </w:trPr>
        <w:tc>
          <w:tcPr>
            <w:tcW w:w="2760" w:type="dxa"/>
            <w:vAlign w:val="bottom"/>
            <w:vMerge w:val="continue"/>
            <w:shd w:val="clear" w:color="auto" w:fill="CCEEFF"/>
          </w:tcPr>
          <w:p>
            <w:pPr>
              <w:spacing w:after="0"/>
              <w:rPr>
                <w:sz w:val="21"/>
                <w:szCs w:val="21"/>
                <w:color w:val="auto"/>
              </w:rPr>
            </w:pP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securities available for sale and the reserve for unfunded lending commitments)</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AFS</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Available for Sale</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ALLL</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 Report</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Annual Report on Form 10-K for the year ended December 31, 2025</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ASU</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Accounting Standards Update</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Assets Under Management (outstanding balances of Loan Originations serviced by the Company</w:t>
            </w:r>
          </w:p>
        </w:tc>
        <w:tc>
          <w:tcPr>
            <w:tcW w:w="0" w:type="dxa"/>
            <w:vAlign w:val="bottom"/>
          </w:tcPr>
          <w:p>
            <w:pPr>
              <w:spacing w:after="0"/>
              <w:rPr>
                <w:sz w:val="1"/>
                <w:szCs w:val="1"/>
                <w:color w:val="auto"/>
              </w:rPr>
            </w:pPr>
          </w:p>
        </w:tc>
      </w:tr>
      <w:tr>
        <w:trPr>
          <w:trHeight w:val="262"/>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AUM</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including loans sold to investors as well as loans held for investment and held for sale by the Company)</w:t>
            </w: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Balance Sheet</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0" w:type="dxa"/>
            <w:vAlign w:val="bottom"/>
          </w:tcPr>
          <w:p>
            <w:pPr>
              <w:spacing w:after="0"/>
              <w:rPr>
                <w:sz w:val="1"/>
                <w:szCs w:val="1"/>
                <w:color w:val="auto"/>
              </w:rPr>
            </w:pPr>
          </w:p>
        </w:tc>
      </w:tr>
      <w:tr>
        <w:trPr>
          <w:trHeight w:val="19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CECL</w:t>
            </w:r>
          </w:p>
        </w:tc>
        <w:tc>
          <w:tcPr>
            <w:tcW w:w="8480" w:type="dxa"/>
            <w:vAlign w:val="bottom"/>
          </w:tcPr>
          <w:p>
            <w:pPr>
              <w:ind w:left="160"/>
              <w:spacing w:after="0" w:line="193" w:lineRule="exact"/>
              <w:rPr>
                <w:sz w:val="20"/>
                <w:szCs w:val="20"/>
                <w:color w:val="auto"/>
              </w:rPr>
            </w:pPr>
            <w:r>
              <w:rPr>
                <w:rFonts w:ascii="Times New Roman" w:cs="Times New Roman" w:eastAsia="Times New Roman" w:hAnsi="Times New Roman"/>
                <w:sz w:val="20"/>
                <w:szCs w:val="20"/>
                <w:color w:val="auto"/>
                <w:w w:val="99"/>
              </w:rPr>
              <w:t>Current Expected Credit Losses (Accounting Standards Update 2016-13, Financial Instruments—Credit</w:t>
            </w:r>
          </w:p>
        </w:tc>
        <w:tc>
          <w:tcPr>
            <w:tcW w:w="0" w:type="dxa"/>
            <w:vAlign w:val="bottom"/>
          </w:tcPr>
          <w:p>
            <w:pPr>
              <w:spacing w:after="0"/>
              <w:rPr>
                <w:sz w:val="1"/>
                <w:szCs w:val="1"/>
                <w:color w:val="auto"/>
              </w:rPr>
            </w:pPr>
          </w:p>
        </w:tc>
      </w:tr>
      <w:tr>
        <w:trPr>
          <w:trHeight w:val="252"/>
        </w:trPr>
        <w:tc>
          <w:tcPr>
            <w:tcW w:w="2760" w:type="dxa"/>
            <w:vAlign w:val="bottom"/>
            <w:vMerge w:val="continue"/>
          </w:tcPr>
          <w:p>
            <w:pPr>
              <w:spacing w:after="0"/>
              <w:rPr>
                <w:sz w:val="21"/>
                <w:szCs w:val="21"/>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Losses (Topic 326): Measurement of Credit Losses on Financial Instruments)</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CET1</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Common Equity Tier 1</w:t>
            </w:r>
          </w:p>
        </w:tc>
        <w:tc>
          <w:tcPr>
            <w:tcW w:w="0" w:type="dxa"/>
            <w:vAlign w:val="bottom"/>
          </w:tcPr>
          <w:p>
            <w:pPr>
              <w:spacing w:after="0"/>
              <w:rPr>
                <w:sz w:val="1"/>
                <w:szCs w:val="1"/>
                <w:color w:val="auto"/>
              </w:rPr>
            </w:pPr>
          </w:p>
        </w:tc>
      </w:tr>
      <w:tr>
        <w:trPr>
          <w:trHeight w:val="19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CET1 Capital Ratio</w:t>
            </w:r>
          </w:p>
        </w:tc>
        <w:tc>
          <w:tcPr>
            <w:tcW w:w="8480" w:type="dxa"/>
            <w:vAlign w:val="bottom"/>
          </w:tcPr>
          <w:p>
            <w:pPr>
              <w:ind w:left="160"/>
              <w:spacing w:after="0" w:line="193" w:lineRule="exact"/>
              <w:rPr>
                <w:sz w:val="20"/>
                <w:szCs w:val="20"/>
                <w:color w:val="auto"/>
              </w:rPr>
            </w:pPr>
            <w:r>
              <w:rPr>
                <w:rFonts w:ascii="Times New Roman" w:cs="Times New Roman" w:eastAsia="Times New Roman" w:hAnsi="Times New Roman"/>
                <w:sz w:val="20"/>
                <w:szCs w:val="20"/>
                <w:color w:val="auto"/>
              </w:rPr>
              <w:t>Common Equity Tier 1 capital divided by total risk-weighted assets as defined under the Basel III</w:t>
            </w:r>
          </w:p>
        </w:tc>
        <w:tc>
          <w:tcPr>
            <w:tcW w:w="0" w:type="dxa"/>
            <w:vAlign w:val="bottom"/>
          </w:tcPr>
          <w:p>
            <w:pPr>
              <w:spacing w:after="0"/>
              <w:rPr>
                <w:sz w:val="1"/>
                <w:szCs w:val="1"/>
                <w:color w:val="auto"/>
              </w:rPr>
            </w:pPr>
          </w:p>
        </w:tc>
      </w:tr>
      <w:tr>
        <w:trPr>
          <w:trHeight w:val="252"/>
        </w:trPr>
        <w:tc>
          <w:tcPr>
            <w:tcW w:w="2760" w:type="dxa"/>
            <w:vAlign w:val="bottom"/>
            <w:vMerge w:val="continue"/>
          </w:tcPr>
          <w:p>
            <w:pPr>
              <w:spacing w:after="0"/>
              <w:rPr>
                <w:sz w:val="21"/>
                <w:szCs w:val="21"/>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capital framework</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DCF</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Discounted Cash Flow</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EPS</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Earnings Per Share</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Exchange Act</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Securities Exchange Act of 1934, as amended</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FRB or Federal Reserve</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Board of Governors of the Federal Reserve System and, as applicable, Federal Reserve Bank(s)</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GAAP</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Accounting Principles Generally Accepted in the United States of America</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HFI</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Loans which are retained by the Company and held for investment</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HFS</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Loans which are held for sale and expected to be sold to investors</w:t>
            </w:r>
          </w:p>
        </w:tc>
        <w:tc>
          <w:tcPr>
            <w:tcW w:w="0" w:type="dxa"/>
            <w:vAlign w:val="bottom"/>
          </w:tcPr>
          <w:p>
            <w:pPr>
              <w:spacing w:after="0"/>
              <w:rPr>
                <w:sz w:val="1"/>
                <w:szCs w:val="1"/>
                <w:color w:val="auto"/>
              </w:rPr>
            </w:pPr>
          </w:p>
        </w:tc>
      </w:tr>
      <w:tr>
        <w:trPr>
          <w:trHeight w:val="256"/>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Statement</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Consolidated Statements of Income</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LC Bank or LendingClub Bank</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LendingClub Bank, National Association</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LendingClub, LC, the Company,</w:t>
            </w:r>
          </w:p>
        </w:tc>
        <w:tc>
          <w:tcPr>
            <w:tcW w:w="84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LendingClub Corporation and its subsidiaries</w:t>
            </w:r>
          </w:p>
        </w:tc>
        <w:tc>
          <w:tcPr>
            <w:tcW w:w="0" w:type="dxa"/>
            <w:vAlign w:val="bottom"/>
          </w:tcPr>
          <w:p>
            <w:pPr>
              <w:spacing w:after="0"/>
              <w:rPr>
                <w:sz w:val="1"/>
                <w:szCs w:val="1"/>
                <w:color w:val="auto"/>
              </w:rPr>
            </w:pPr>
          </w:p>
        </w:tc>
      </w:tr>
      <w:tr>
        <w:trPr>
          <w:trHeight w:val="252"/>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 us, or our</w:t>
            </w:r>
          </w:p>
        </w:tc>
        <w:tc>
          <w:tcPr>
            <w:tcW w:w="8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Unsecured personal loans and auto refinance loans originated by the Company or facilitated by third-</w:t>
            </w:r>
          </w:p>
        </w:tc>
        <w:tc>
          <w:tcPr>
            <w:tcW w:w="0" w:type="dxa"/>
            <w:vAlign w:val="bottom"/>
          </w:tcPr>
          <w:p>
            <w:pPr>
              <w:spacing w:after="0"/>
              <w:rPr>
                <w:sz w:val="1"/>
                <w:szCs w:val="1"/>
                <w:color w:val="auto"/>
              </w:rPr>
            </w:pPr>
          </w:p>
        </w:tc>
      </w:tr>
      <w:tr>
        <w:trPr>
          <w:trHeight w:val="26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 Originations</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party issuing banks</w:t>
            </w:r>
          </w:p>
        </w:tc>
        <w:tc>
          <w:tcPr>
            <w:tcW w:w="0" w:type="dxa"/>
            <w:vAlign w:val="bottom"/>
          </w:tcPr>
          <w:p>
            <w:pPr>
              <w:spacing w:after="0"/>
              <w:rPr>
                <w:sz w:val="1"/>
                <w:szCs w:val="1"/>
                <w:color w:val="auto"/>
              </w:rPr>
            </w:pPr>
          </w:p>
        </w:tc>
      </w:tr>
      <w:tr>
        <w:trPr>
          <w:trHeight w:val="256"/>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Marketplace Loans</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Loan Originations designated as HFS</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N/M</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Not meaningful</w:t>
            </w:r>
          </w:p>
        </w:tc>
        <w:tc>
          <w:tcPr>
            <w:tcW w:w="0" w:type="dxa"/>
            <w:vAlign w:val="bottom"/>
          </w:tcPr>
          <w:p>
            <w:pPr>
              <w:spacing w:after="0"/>
              <w:rPr>
                <w:sz w:val="1"/>
                <w:szCs w:val="1"/>
                <w:color w:val="auto"/>
              </w:rPr>
            </w:pPr>
          </w:p>
        </w:tc>
      </w:tr>
      <w:tr>
        <w:trPr>
          <w:trHeight w:val="19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Parent</w:t>
            </w:r>
          </w:p>
        </w:tc>
        <w:tc>
          <w:tcPr>
            <w:tcW w:w="8480" w:type="dxa"/>
            <w:vAlign w:val="bottom"/>
          </w:tcPr>
          <w:p>
            <w:pPr>
              <w:ind w:left="160"/>
              <w:spacing w:after="0" w:line="193" w:lineRule="exact"/>
              <w:rPr>
                <w:sz w:val="20"/>
                <w:szCs w:val="20"/>
                <w:color w:val="auto"/>
              </w:rPr>
            </w:pPr>
            <w:r>
              <w:rPr>
                <w:rFonts w:ascii="Times New Roman" w:cs="Times New Roman" w:eastAsia="Times New Roman" w:hAnsi="Times New Roman"/>
                <w:sz w:val="20"/>
                <w:szCs w:val="20"/>
                <w:color w:val="auto"/>
              </w:rPr>
              <w:t>LendingClub Corporation (the Parent Company of LendingClub Bank, National Association and other</w:t>
            </w:r>
          </w:p>
        </w:tc>
        <w:tc>
          <w:tcPr>
            <w:tcW w:w="0" w:type="dxa"/>
            <w:vAlign w:val="bottom"/>
          </w:tcPr>
          <w:p>
            <w:pPr>
              <w:spacing w:after="0"/>
              <w:rPr>
                <w:sz w:val="1"/>
                <w:szCs w:val="1"/>
                <w:color w:val="auto"/>
              </w:rPr>
            </w:pPr>
          </w:p>
        </w:tc>
      </w:tr>
      <w:tr>
        <w:trPr>
          <w:trHeight w:val="252"/>
        </w:trPr>
        <w:tc>
          <w:tcPr>
            <w:tcW w:w="2760" w:type="dxa"/>
            <w:vAlign w:val="bottom"/>
            <w:vMerge w:val="continue"/>
          </w:tcPr>
          <w:p>
            <w:pPr>
              <w:spacing w:after="0"/>
              <w:rPr>
                <w:sz w:val="21"/>
                <w:szCs w:val="21"/>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PPNR or Pre-Provision Net</w:t>
            </w:r>
          </w:p>
        </w:tc>
        <w:tc>
          <w:tcPr>
            <w:tcW w:w="8480" w:type="dxa"/>
            <w:vAlign w:val="bottom"/>
            <w:shd w:val="clear" w:color="auto" w:fill="CCEEFF"/>
          </w:tcPr>
          <w:p>
            <w:pPr>
              <w:ind w:left="160"/>
              <w:spacing w:after="0" w:line="193" w:lineRule="exact"/>
              <w:rPr>
                <w:sz w:val="20"/>
                <w:szCs w:val="20"/>
                <w:color w:val="auto"/>
              </w:rPr>
            </w:pPr>
            <w:r>
              <w:rPr>
                <w:rFonts w:ascii="Times New Roman" w:cs="Times New Roman" w:eastAsia="Times New Roman" w:hAnsi="Times New Roman"/>
                <w:sz w:val="20"/>
                <w:szCs w:val="20"/>
                <w:color w:val="auto"/>
              </w:rPr>
              <w:t>PPNR, or Pre-Provision Net Revenue, is a non-GAAP financial measure calculated by subtracting the</w:t>
            </w:r>
          </w:p>
        </w:tc>
        <w:tc>
          <w:tcPr>
            <w:tcW w:w="0" w:type="dxa"/>
            <w:vAlign w:val="bottom"/>
          </w:tcPr>
          <w:p>
            <w:pPr>
              <w:spacing w:after="0"/>
              <w:rPr>
                <w:sz w:val="1"/>
                <w:szCs w:val="1"/>
                <w:color w:val="auto"/>
              </w:rPr>
            </w:pPr>
          </w:p>
        </w:tc>
      </w:tr>
      <w:tr>
        <w:trPr>
          <w:trHeight w:val="25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provision for credit losses and income tax benefit/expense from net income.</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Securities Act</w:t>
            </w: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Securities Act of 1933, as amended</w:t>
            </w:r>
          </w:p>
        </w:tc>
        <w:tc>
          <w:tcPr>
            <w:tcW w:w="0" w:type="dxa"/>
            <w:vAlign w:val="bottom"/>
          </w:tcPr>
          <w:p>
            <w:pPr>
              <w:spacing w:after="0"/>
              <w:rPr>
                <w:sz w:val="1"/>
                <w:szCs w:val="1"/>
                <w:color w:val="auto"/>
              </w:rPr>
            </w:pPr>
          </w:p>
        </w:tc>
      </w:tr>
      <w:tr>
        <w:trPr>
          <w:trHeight w:val="257"/>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Statement of Cash Flows</w:t>
            </w:r>
          </w:p>
        </w:tc>
        <w:tc>
          <w:tcPr>
            <w:tcW w:w="8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0" w:type="dxa"/>
            <w:vAlign w:val="bottom"/>
          </w:tcPr>
          <w:p>
            <w:pPr>
              <w:spacing w:after="0"/>
              <w:rPr>
                <w:sz w:val="1"/>
                <w:szCs w:val="1"/>
                <w:color w:val="auto"/>
              </w:rPr>
            </w:pPr>
          </w:p>
        </w:tc>
      </w:tr>
      <w:tr>
        <w:trPr>
          <w:trHeight w:val="193"/>
        </w:trPr>
        <w:tc>
          <w:tcPr>
            <w:tcW w:w="2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Structured Program transactions</w:t>
            </w:r>
          </w:p>
        </w:tc>
        <w:tc>
          <w:tcPr>
            <w:tcW w:w="8480" w:type="dxa"/>
            <w:vAlign w:val="bottom"/>
            <w:shd w:val="clear" w:color="auto" w:fill="CCEEFF"/>
          </w:tcPr>
          <w:p>
            <w:pPr>
              <w:ind w:left="160"/>
              <w:spacing w:after="0" w:line="193" w:lineRule="exact"/>
              <w:rPr>
                <w:sz w:val="20"/>
                <w:szCs w:val="20"/>
                <w:color w:val="auto"/>
              </w:rPr>
            </w:pPr>
            <w:r>
              <w:rPr>
                <w:rFonts w:ascii="Times New Roman" w:cs="Times New Roman" w:eastAsia="Times New Roman" w:hAnsi="Times New Roman"/>
                <w:sz w:val="20"/>
                <w:szCs w:val="20"/>
                <w:color w:val="auto"/>
              </w:rPr>
              <w:t>Asset-backed securitization transactions where certain accredited investors and qualified institutional</w:t>
            </w:r>
          </w:p>
        </w:tc>
        <w:tc>
          <w:tcPr>
            <w:tcW w:w="0" w:type="dxa"/>
            <w:vAlign w:val="bottom"/>
          </w:tcPr>
          <w:p>
            <w:pPr>
              <w:spacing w:after="0"/>
              <w:rPr>
                <w:sz w:val="1"/>
                <w:szCs w:val="1"/>
                <w:color w:val="auto"/>
              </w:rPr>
            </w:pPr>
          </w:p>
        </w:tc>
      </w:tr>
      <w:tr>
        <w:trPr>
          <w:trHeight w:val="252"/>
        </w:trPr>
        <w:tc>
          <w:tcPr>
            <w:tcW w:w="2760" w:type="dxa"/>
            <w:vAlign w:val="bottom"/>
            <w:vMerge w:val="continue"/>
            <w:shd w:val="clear" w:color="auto" w:fill="CCEEFF"/>
          </w:tcPr>
          <w:p>
            <w:pPr>
              <w:spacing w:after="0"/>
              <w:rPr>
                <w:sz w:val="21"/>
                <w:szCs w:val="21"/>
                <w:color w:val="auto"/>
              </w:rPr>
            </w:pP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buyers have the opportunity to invest in securities backed by a pool of unsecured personal loans.</w:t>
            </w:r>
          </w:p>
        </w:tc>
        <w:tc>
          <w:tcPr>
            <w:tcW w:w="0" w:type="dxa"/>
            <w:vAlign w:val="bottom"/>
          </w:tcPr>
          <w:p>
            <w:pPr>
              <w:spacing w:after="0"/>
              <w:rPr>
                <w:sz w:val="1"/>
                <w:szCs w:val="1"/>
                <w:color w:val="auto"/>
              </w:rPr>
            </w:pPr>
          </w:p>
        </w:tc>
      </w:tr>
      <w:tr>
        <w:trPr>
          <w:trHeight w:val="864"/>
        </w:trPr>
        <w:tc>
          <w:tcPr>
            <w:tcW w:w="2760" w:type="dxa"/>
            <w:vAlign w:val="bottom"/>
          </w:tcPr>
          <w:p>
            <w:pPr>
              <w:spacing w:after="0"/>
              <w:rPr>
                <w:sz w:val="24"/>
                <w:szCs w:val="24"/>
                <w:color w:val="auto"/>
              </w:rPr>
            </w:pPr>
          </w:p>
        </w:tc>
        <w:tc>
          <w:tcPr>
            <w:tcW w:w="84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8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2480" w:type="dxa"/>
            <w:vAlign w:val="bottom"/>
          </w:tcPr>
          <w:p>
            <w:pPr>
              <w:spacing w:after="0"/>
              <w:rPr>
                <w:sz w:val="22"/>
                <w:szCs w:val="22"/>
                <w:color w:val="auto"/>
              </w:rPr>
            </w:pPr>
          </w:p>
        </w:tc>
        <w:tc>
          <w:tcPr>
            <w:tcW w:w="8760" w:type="dxa"/>
            <w:vAlign w:val="bottom"/>
          </w:tcPr>
          <w:p>
            <w:pPr>
              <w:ind w:left="1640"/>
              <w:spacing w:after="0"/>
              <w:rPr>
                <w:sz w:val="20"/>
                <w:szCs w:val="20"/>
                <w:color w:val="auto"/>
              </w:rPr>
            </w:pPr>
            <w:r>
              <w:rPr>
                <w:rFonts w:ascii="Times New Roman" w:cs="Times New Roman" w:eastAsia="Times New Roman" w:hAnsi="Times New Roman"/>
                <w:sz w:val="20"/>
                <w:szCs w:val="20"/>
                <w:b w:val="1"/>
                <w:bCs w:val="1"/>
                <w:color w:val="auto"/>
              </w:rPr>
              <w:t>LENDINGCLUB CORPORATION</w:t>
            </w:r>
          </w:p>
        </w:tc>
        <w:tc>
          <w:tcPr>
            <w:tcW w:w="0" w:type="dxa"/>
            <w:vAlign w:val="bottom"/>
          </w:tcPr>
          <w:p>
            <w:pPr>
              <w:spacing w:after="0"/>
              <w:rPr>
                <w:sz w:val="1"/>
                <w:szCs w:val="1"/>
                <w:color w:val="auto"/>
              </w:rPr>
            </w:pPr>
          </w:p>
        </w:tc>
      </w:tr>
      <w:tr>
        <w:trPr>
          <w:trHeight w:val="754"/>
        </w:trPr>
        <w:tc>
          <w:tcPr>
            <w:tcW w:w="2480" w:type="dxa"/>
            <w:vAlign w:val="bottom"/>
          </w:tcPr>
          <w:p>
            <w:pPr>
              <w:spacing w:after="0"/>
              <w:rPr>
                <w:sz w:val="24"/>
                <w:szCs w:val="24"/>
                <w:color w:val="auto"/>
              </w:rPr>
            </w:pPr>
          </w:p>
        </w:tc>
        <w:tc>
          <w:tcPr>
            <w:tcW w:w="87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Tier 1 capital, which includes Common Equity Tier 1 capital plus non-cumulative perpetual preferred</w:t>
            </w:r>
          </w:p>
        </w:tc>
        <w:tc>
          <w:tcPr>
            <w:tcW w:w="0" w:type="dxa"/>
            <w:vAlign w:val="bottom"/>
          </w:tcPr>
          <w:p>
            <w:pPr>
              <w:spacing w:after="0"/>
              <w:rPr>
                <w:sz w:val="1"/>
                <w:szCs w:val="1"/>
                <w:color w:val="auto"/>
              </w:rPr>
            </w:pPr>
          </w:p>
        </w:tc>
      </w:tr>
      <w:tr>
        <w:trPr>
          <w:trHeight w:val="19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Tier 1 Capital Ratio</w:t>
            </w:r>
          </w:p>
        </w:tc>
        <w:tc>
          <w:tcPr>
            <w:tcW w:w="8760" w:type="dxa"/>
            <w:vAlign w:val="bottom"/>
          </w:tcPr>
          <w:p>
            <w:pPr>
              <w:ind w:left="440"/>
              <w:spacing w:after="0" w:line="198" w:lineRule="exact"/>
              <w:rPr>
                <w:sz w:val="20"/>
                <w:szCs w:val="20"/>
                <w:color w:val="auto"/>
              </w:rPr>
            </w:pPr>
            <w:r>
              <w:rPr>
                <w:rFonts w:ascii="Times New Roman" w:cs="Times New Roman" w:eastAsia="Times New Roman" w:hAnsi="Times New Roman"/>
                <w:sz w:val="20"/>
                <w:szCs w:val="20"/>
                <w:color w:val="auto"/>
                <w:w w:val="98"/>
              </w:rPr>
              <w:t>equity that qualifies as additional tier 1 capital, divided by total risk-weighted assets as defined under the</w:t>
            </w:r>
          </w:p>
        </w:tc>
        <w:tc>
          <w:tcPr>
            <w:tcW w:w="0" w:type="dxa"/>
            <w:vAlign w:val="bottom"/>
          </w:tcPr>
          <w:p>
            <w:pPr>
              <w:spacing w:after="0"/>
              <w:rPr>
                <w:sz w:val="1"/>
                <w:szCs w:val="1"/>
                <w:color w:val="auto"/>
              </w:rPr>
            </w:pPr>
          </w:p>
        </w:tc>
      </w:tr>
      <w:tr>
        <w:trPr>
          <w:trHeight w:val="257"/>
        </w:trPr>
        <w:tc>
          <w:tcPr>
            <w:tcW w:w="2480" w:type="dxa"/>
            <w:vAlign w:val="bottom"/>
            <w:vMerge w:val="continue"/>
          </w:tcPr>
          <w:p>
            <w:pPr>
              <w:spacing w:after="0"/>
              <w:rPr>
                <w:sz w:val="22"/>
                <w:szCs w:val="22"/>
                <w:color w:val="auto"/>
              </w:rPr>
            </w:pPr>
          </w:p>
        </w:tc>
        <w:tc>
          <w:tcPr>
            <w:tcW w:w="87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Basel III capital framework.</w:t>
            </w: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spacing w:after="0"/>
              <w:rPr>
                <w:sz w:val="16"/>
                <w:szCs w:val="16"/>
                <w:color w:val="auto"/>
              </w:rPr>
            </w:pPr>
          </w:p>
        </w:tc>
        <w:tc>
          <w:tcPr>
            <w:tcW w:w="8760" w:type="dxa"/>
            <w:vAlign w:val="bottom"/>
            <w:shd w:val="clear" w:color="auto" w:fill="CCEEFF"/>
          </w:tcPr>
          <w:p>
            <w:pPr>
              <w:ind w:left="440"/>
              <w:spacing w:after="0" w:line="193" w:lineRule="exact"/>
              <w:rPr>
                <w:sz w:val="20"/>
                <w:szCs w:val="20"/>
                <w:color w:val="auto"/>
              </w:rPr>
            </w:pPr>
            <w:r>
              <w:rPr>
                <w:rFonts w:ascii="Times New Roman" w:cs="Times New Roman" w:eastAsia="Times New Roman" w:hAnsi="Times New Roman"/>
                <w:sz w:val="20"/>
                <w:szCs w:val="20"/>
                <w:color w:val="auto"/>
              </w:rPr>
              <w:t>Tier 1 capital, which includes Common Equity Tier 1 capital plus non-cumulative perpetual preferred</w:t>
            </w:r>
          </w:p>
        </w:tc>
        <w:tc>
          <w:tcPr>
            <w:tcW w:w="0" w:type="dxa"/>
            <w:vAlign w:val="bottom"/>
          </w:tcPr>
          <w:p>
            <w:pPr>
              <w:spacing w:after="0"/>
              <w:rPr>
                <w:sz w:val="1"/>
                <w:szCs w:val="1"/>
                <w:color w:val="auto"/>
              </w:rPr>
            </w:pPr>
          </w:p>
        </w:tc>
      </w:tr>
      <w:tr>
        <w:trPr>
          <w:trHeight w:val="198"/>
        </w:trPr>
        <w:tc>
          <w:tcPr>
            <w:tcW w:w="2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Leverage Ratio</w:t>
            </w:r>
          </w:p>
        </w:tc>
        <w:tc>
          <w:tcPr>
            <w:tcW w:w="876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20"/>
                <w:szCs w:val="20"/>
                <w:color w:val="auto"/>
              </w:rPr>
              <w:t>equity that qualifies as additional tier 1 capital, divided by quarterly adjusted average assets as defined</w:t>
            </w:r>
          </w:p>
        </w:tc>
        <w:tc>
          <w:tcPr>
            <w:tcW w:w="0" w:type="dxa"/>
            <w:vAlign w:val="bottom"/>
          </w:tcPr>
          <w:p>
            <w:pPr>
              <w:spacing w:after="0"/>
              <w:rPr>
                <w:sz w:val="1"/>
                <w:szCs w:val="1"/>
                <w:color w:val="auto"/>
              </w:rPr>
            </w:pPr>
          </w:p>
        </w:tc>
      </w:tr>
      <w:tr>
        <w:trPr>
          <w:trHeight w:val="257"/>
        </w:trPr>
        <w:tc>
          <w:tcPr>
            <w:tcW w:w="2480" w:type="dxa"/>
            <w:vAlign w:val="bottom"/>
            <w:vMerge w:val="continue"/>
            <w:shd w:val="clear" w:color="auto" w:fill="CCEEFF"/>
          </w:tcPr>
          <w:p>
            <w:pPr>
              <w:spacing w:after="0"/>
              <w:rPr>
                <w:sz w:val="22"/>
                <w:szCs w:val="22"/>
                <w:color w:val="auto"/>
              </w:rPr>
            </w:pPr>
          </w:p>
        </w:tc>
        <w:tc>
          <w:tcPr>
            <w:tcW w:w="8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under the Basel III capital framework.</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760" w:type="dxa"/>
            <w:vAlign w:val="bottom"/>
          </w:tcPr>
          <w:p>
            <w:pPr>
              <w:ind w:left="440"/>
              <w:spacing w:after="0" w:line="193" w:lineRule="exact"/>
              <w:rPr>
                <w:sz w:val="20"/>
                <w:szCs w:val="20"/>
                <w:color w:val="auto"/>
              </w:rPr>
            </w:pPr>
            <w:r>
              <w:rPr>
                <w:rFonts w:ascii="Times New Roman" w:cs="Times New Roman" w:eastAsia="Times New Roman" w:hAnsi="Times New Roman"/>
                <w:sz w:val="20"/>
                <w:szCs w:val="20"/>
                <w:color w:val="auto"/>
              </w:rPr>
              <w:t>Total capital, which includes Common Equity Tier 1 capital, Tier 1 capital and allowance for credit</w:t>
            </w:r>
          </w:p>
        </w:tc>
        <w:tc>
          <w:tcPr>
            <w:tcW w:w="0" w:type="dxa"/>
            <w:vAlign w:val="bottom"/>
          </w:tcPr>
          <w:p>
            <w:pPr>
              <w:spacing w:after="0"/>
              <w:rPr>
                <w:sz w:val="1"/>
                <w:szCs w:val="1"/>
                <w:color w:val="auto"/>
              </w:rPr>
            </w:pPr>
          </w:p>
        </w:tc>
      </w:tr>
      <w:tr>
        <w:trPr>
          <w:trHeight w:val="19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Total Capital Ratio</w:t>
            </w:r>
          </w:p>
        </w:tc>
        <w:tc>
          <w:tcPr>
            <w:tcW w:w="8760" w:type="dxa"/>
            <w:vAlign w:val="bottom"/>
          </w:tcPr>
          <w:p>
            <w:pPr>
              <w:ind w:left="440"/>
              <w:spacing w:after="0" w:line="198" w:lineRule="exact"/>
              <w:rPr>
                <w:sz w:val="20"/>
                <w:szCs w:val="20"/>
                <w:color w:val="auto"/>
              </w:rPr>
            </w:pPr>
            <w:r>
              <w:rPr>
                <w:rFonts w:ascii="Times New Roman" w:cs="Times New Roman" w:eastAsia="Times New Roman" w:hAnsi="Times New Roman"/>
                <w:sz w:val="20"/>
                <w:szCs w:val="20"/>
                <w:color w:val="auto"/>
              </w:rPr>
              <w:t>losses and qualifying subordinated debt that qualifies as Tier 2 capital, divided by total risk-weighted</w:t>
            </w:r>
          </w:p>
        </w:tc>
        <w:tc>
          <w:tcPr>
            <w:tcW w:w="0" w:type="dxa"/>
            <w:vAlign w:val="bottom"/>
          </w:tcPr>
          <w:p>
            <w:pPr>
              <w:spacing w:after="0"/>
              <w:rPr>
                <w:sz w:val="1"/>
                <w:szCs w:val="1"/>
                <w:color w:val="auto"/>
              </w:rPr>
            </w:pPr>
          </w:p>
        </w:tc>
      </w:tr>
      <w:tr>
        <w:trPr>
          <w:trHeight w:val="257"/>
        </w:trPr>
        <w:tc>
          <w:tcPr>
            <w:tcW w:w="2480" w:type="dxa"/>
            <w:vAlign w:val="bottom"/>
            <w:vMerge w:val="continue"/>
          </w:tcPr>
          <w:p>
            <w:pPr>
              <w:spacing w:after="0"/>
              <w:rPr>
                <w:sz w:val="22"/>
                <w:szCs w:val="22"/>
                <w:color w:val="auto"/>
              </w:rPr>
            </w:pPr>
          </w:p>
        </w:tc>
        <w:tc>
          <w:tcPr>
            <w:tcW w:w="87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assets as defined under the Basel III capital framework.</w:t>
            </w:r>
          </w:p>
        </w:tc>
        <w:tc>
          <w:tcPr>
            <w:tcW w:w="0" w:type="dxa"/>
            <w:vAlign w:val="bottom"/>
          </w:tcPr>
          <w:p>
            <w:pPr>
              <w:spacing w:after="0"/>
              <w:rPr>
                <w:sz w:val="1"/>
                <w:szCs w:val="1"/>
                <w:color w:val="auto"/>
              </w:rPr>
            </w:pPr>
          </w:p>
        </w:tc>
      </w:tr>
      <w:tr>
        <w:trPr>
          <w:trHeight w:val="220"/>
        </w:trPr>
        <w:tc>
          <w:tcPr>
            <w:tcW w:w="2480" w:type="dxa"/>
            <w:vAlign w:val="bottom"/>
            <w:shd w:val="clear" w:color="auto" w:fill="CCEEFF"/>
          </w:tcPr>
          <w:p>
            <w:pPr>
              <w:spacing w:after="0"/>
              <w:rPr>
                <w:sz w:val="19"/>
                <w:szCs w:val="19"/>
                <w:color w:val="auto"/>
              </w:rPr>
            </w:pPr>
          </w:p>
        </w:tc>
        <w:tc>
          <w:tcPr>
            <w:tcW w:w="876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20"/>
                <w:szCs w:val="20"/>
                <w:color w:val="auto"/>
              </w:rPr>
              <w:t>Unsecured personal loans originated on the Company’s platforms, including an online direct to</w:t>
            </w:r>
          </w:p>
        </w:tc>
        <w:tc>
          <w:tcPr>
            <w:tcW w:w="0" w:type="dxa"/>
            <w:vAlign w:val="bottom"/>
          </w:tcPr>
          <w:p>
            <w:pPr>
              <w:spacing w:after="0"/>
              <w:rPr>
                <w:sz w:val="1"/>
                <w:szCs w:val="1"/>
                <w:color w:val="auto"/>
              </w:rPr>
            </w:pPr>
          </w:p>
        </w:tc>
      </w:tr>
      <w:tr>
        <w:trPr>
          <w:trHeight w:val="27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Unsecured personal loans</w:t>
            </w:r>
          </w:p>
        </w:tc>
        <w:tc>
          <w:tcPr>
            <w:tcW w:w="8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consumer platform and a platform connected with a network of purchase finance providers.</w:t>
            </w:r>
          </w:p>
        </w:tc>
        <w:tc>
          <w:tcPr>
            <w:tcW w:w="0" w:type="dxa"/>
            <w:vAlign w:val="bottom"/>
          </w:tcPr>
          <w:p>
            <w:pPr>
              <w:spacing w:after="0"/>
              <w:rPr>
                <w:sz w:val="1"/>
                <w:szCs w:val="1"/>
                <w:color w:val="auto"/>
              </w:rPr>
            </w:pPr>
          </w:p>
        </w:tc>
      </w:tr>
      <w:tr>
        <w:trPr>
          <w:trHeight w:val="25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VIE</w:t>
            </w:r>
          </w:p>
        </w:tc>
        <w:tc>
          <w:tcPr>
            <w:tcW w:w="8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Variable Interest Entity</w:t>
            </w:r>
          </w:p>
        </w:tc>
        <w:tc>
          <w:tcPr>
            <w:tcW w:w="0" w:type="dxa"/>
            <w:vAlign w:val="bottom"/>
          </w:tcPr>
          <w:p>
            <w:pPr>
              <w:spacing w:after="0"/>
              <w:rPr>
                <w:sz w:val="1"/>
                <w:szCs w:val="1"/>
                <w:color w:val="auto"/>
              </w:rPr>
            </w:pPr>
          </w:p>
        </w:tc>
      </w:tr>
      <w:tr>
        <w:trPr>
          <w:trHeight w:val="858"/>
        </w:trPr>
        <w:tc>
          <w:tcPr>
            <w:tcW w:w="2480" w:type="dxa"/>
            <w:vAlign w:val="bottom"/>
          </w:tcPr>
          <w:p>
            <w:pPr>
              <w:spacing w:after="0"/>
              <w:rPr>
                <w:sz w:val="24"/>
                <w:szCs w:val="24"/>
                <w:color w:val="auto"/>
              </w:rPr>
            </w:pPr>
          </w:p>
        </w:tc>
        <w:tc>
          <w:tcPr>
            <w:tcW w:w="876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9A9A9A"/>
            </w:tcBorders>
          </w:tcPr>
          <w:p>
            <w:pPr>
              <w:spacing w:after="0"/>
              <w:rPr>
                <w:sz w:val="10"/>
                <w:szCs w:val="10"/>
                <w:color w:val="auto"/>
              </w:rPr>
            </w:pPr>
          </w:p>
        </w:tc>
        <w:tc>
          <w:tcPr>
            <w:tcW w:w="8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9"/>
          <w:szCs w:val="19"/>
          <w:color w:val="auto"/>
        </w:rPr>
        <w:t>Except as the context requires otherwise, as used herein, “LendingClub,” “Company,” “we,” “us,” and “our,” refer to LendingClub Corporation, a Delaware corporation, and, where appropriate, its consolidated subsidiaries, including LendingClub Bank, National Association (LC Bank), and various entities established to facilitate loan sale transactions under LendingClub’s Structured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This Annual Report on Form 10-K for the year ended December 31, 2025 (Annual Report) contains forward-looking statements within the meaning of Section 27A of the Securities Act of 1933, as amended (Securities Act), and Section 21E of the Securities Exchange Act of 1934, as amended (Exchange Act). Forward-looking statements in this Annual Report include, without limitation, statements regarding borrowers, credit scoring, our strategy, future operations, expected losses, future financial position, future revenue, projected costs, prospects, plans, objectives of management, expected market growth and the impact on our business. You can identify these forward-looking statements by words such as “anticipate,” “appear,” “believe,” “continue,” “could,” “estimate,” “expect,” “forecast,” “future,” “intend,” “may,” “opportunity,” “outlook,” “plan,” “predict,” “project,” “should,” “strategy,” “target,” “will,” “would,” or similar expressions.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forward-looking statements include, among other things, statements about:</w:t>
      </w:r>
    </w:p>
    <w:p>
      <w:pPr>
        <w:spacing w:after="0" w:line="10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and our ability to successfully navigate, the current interest rate and economic climate;</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business under adverse circumstances;</w:t>
      </w:r>
    </w:p>
    <w:p>
      <w:pPr>
        <w:spacing w:after="0" w:line="6" w:lineRule="exact"/>
        <w:rPr>
          <w:rFonts w:ascii="Times New Roman" w:cs="Times New Roman" w:eastAsia="Times New Roman" w:hAnsi="Times New Roman"/>
          <w:sz w:val="20"/>
          <w:szCs w:val="20"/>
          <w:color w:val="auto"/>
        </w:rPr>
      </w:pPr>
    </w:p>
    <w:p>
      <w:pPr>
        <w:ind w:left="660" w:right="68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new members, to expand our product offerings and services, to improve revenue and generate recurring earnings, and to increase resiliency;</w:t>
      </w:r>
    </w:p>
    <w:p>
      <w:pPr>
        <w:ind w:left="660" w:right="6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and that of third-party partners or providers, with applicable local, state and federal laws, regulations and regulatory developments or court decisions affecting our business;</w:t>
      </w:r>
    </w:p>
    <w:p>
      <w:pPr>
        <w:spacing w:after="0" w:line="1"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natural disasters, public health issues, acts of war or terrorism, geopolitical uncertainty and other external events on our customers and business;</w:t>
      </w:r>
    </w:p>
    <w:p>
      <w:pPr>
        <w:spacing w:after="0" w:line="1" w:lineRule="exact"/>
        <w:rPr>
          <w:rFonts w:ascii="Times New Roman" w:cs="Times New Roman" w:eastAsia="Times New Roman" w:hAnsi="Times New Roman"/>
          <w:sz w:val="20"/>
          <w:szCs w:val="20"/>
          <w:color w:val="auto"/>
        </w:rPr>
      </w:pPr>
    </w:p>
    <w:p>
      <w:pPr>
        <w:ind w:left="660" w:right="16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in laws or the regulatory or supervisory environment, including as a result of legislation, regulation, policies, legal challenges to agency regulations and interpretations or changes in government officials or other personnel;</w:t>
      </w:r>
    </w:p>
    <w:p>
      <w:pPr>
        <w:spacing w:after="0" w:line="1" w:lineRule="exact"/>
        <w:rPr>
          <w:rFonts w:ascii="Times New Roman" w:cs="Times New Roman" w:eastAsia="Times New Roman" w:hAnsi="Times New Roman"/>
          <w:sz w:val="20"/>
          <w:szCs w:val="20"/>
          <w:color w:val="auto"/>
        </w:rPr>
      </w:pPr>
    </w:p>
    <w:p>
      <w:pPr>
        <w:ind w:left="660" w:right="42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how a cap on interest rates, including credit card interest rates, is implemented and/or voluntarily complied with by other financial institutions;</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in monetary, fiscal, or trade laws or policies;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accounting standards, policies, elections or methodologies;</w:t>
      </w:r>
    </w:p>
    <w:p>
      <w:pPr>
        <w:spacing w:after="0" w:line="6" w:lineRule="exact"/>
        <w:rPr>
          <w:rFonts w:ascii="Times New Roman" w:cs="Times New Roman" w:eastAsia="Times New Roman" w:hAnsi="Times New Roman"/>
          <w:sz w:val="20"/>
          <w:szCs w:val="20"/>
          <w:color w:val="auto"/>
        </w:rPr>
      </w:pPr>
    </w:p>
    <w:p>
      <w:pPr>
        <w:ind w:left="660" w:right="300" w:hanging="328"/>
        <w:spacing w:after="0" w:line="24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examinations of us by regulatory authorities and the possibility that any such regulatory authority may, among other things, require us to limit our business activities, increase our allowance for loan losses, increase our capital levels, or affect our ability to borrow funds or maintain or increase deposits;</w:t>
      </w:r>
    </w:p>
    <w:p>
      <w:pPr>
        <w:spacing w:after="0" w:line="2" w:lineRule="exact"/>
        <w:rPr>
          <w:rFonts w:ascii="Times New Roman" w:cs="Times New Roman" w:eastAsia="Times New Roman" w:hAnsi="Times New Roman"/>
          <w:sz w:val="20"/>
          <w:szCs w:val="20"/>
          <w:color w:val="auto"/>
        </w:rPr>
      </w:pPr>
    </w:p>
    <w:p>
      <w:pPr>
        <w:ind w:left="660" w:right="36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that of third-party partners or providers, to maintain an enterprise risk management framework that is effective in mitigating risk;</w:t>
      </w:r>
    </w:p>
    <w:p>
      <w:pPr>
        <w:spacing w:after="0" w:line="1" w:lineRule="exact"/>
        <w:rPr>
          <w:rFonts w:ascii="Times New Roman" w:cs="Times New Roman" w:eastAsia="Times New Roman" w:hAnsi="Times New Roman"/>
          <w:sz w:val="20"/>
          <w:szCs w:val="20"/>
          <w:color w:val="auto"/>
        </w:rPr>
      </w:pPr>
    </w:p>
    <w:p>
      <w:pPr>
        <w:ind w:left="660" w:right="80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capital or liquidity to support our evolving business or operational needs, while remaining compliant with regulatory or supervisory requirements and appropriate risk management standards;</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loan borrowers;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maintain our deposit base or other low-cost funding sources necessary to fund our activities;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in consumer spending, borrowing and saving habits;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continuation of, or changes in, the interest rate environment and economic climate;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in the U.S. political environment or disruptions in government operations;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on the interplay among origination volume, underwriting standards and interest rates;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and willingness of borrowers to repay loans;</w:t>
      </w:r>
    </w:p>
    <w:p>
      <w:pPr>
        <w:spacing w:after="0" w:line="6" w:lineRule="exact"/>
        <w:rPr>
          <w:rFonts w:ascii="Times New Roman" w:cs="Times New Roman" w:eastAsia="Times New Roman" w:hAnsi="Times New Roman"/>
          <w:sz w:val="20"/>
          <w:szCs w:val="20"/>
          <w:color w:val="auto"/>
        </w:rPr>
      </w:pPr>
    </w:p>
    <w:p>
      <w:pPr>
        <w:ind w:left="660" w:right="18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certain loans and leases in our commercial loan portfolio will be fully repaid in accordance with the contractual loan terms;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investor confidence in the operation of our platform;</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existing sources and secure new or additional sources of investor commitments for our platform;</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loan products and expected rates of return for investors;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volume, pricing and demand;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platform’s credit decisioning and scoring models;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innovate and the adoption and success of new products and services;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of our corporate governance, risk management framework and compliance programs;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and our ability to resolve, pending litigation and governmental inquiries and investigations;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our own capital to purchase loans and the impact of holding loans on and our ability to sell loans off our balance sheet;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intention not to sell our available for sale (AFS) investment portfolio securities in loss positions;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performance, including the impact that management’s estimates have on our financial performance;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that of third-party partners and providers, to maintain service and quality expectations;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inputs used in the fair value measurement of our financial instruments;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 of our interest rate sensitivity;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calculation of expected credit losses for our collateral-dependent loans;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estimated maximum exposure to losses;</w:t>
      </w:r>
    </w:p>
    <w:p>
      <w:pPr>
        <w:spacing w:after="0" w:line="6" w:lineRule="exact"/>
        <w:rPr>
          <w:rFonts w:ascii="Times New Roman" w:cs="Times New Roman" w:eastAsia="Times New Roman" w:hAnsi="Times New Roman"/>
          <w:sz w:val="20"/>
          <w:szCs w:val="20"/>
          <w:color w:val="auto"/>
        </w:rPr>
      </w:pPr>
    </w:p>
    <w:p>
      <w:pPr>
        <w:ind w:left="660" w:right="16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 of loan servicing fee revenue based on forecasted prepayments and estimated market rate of servicing at the time of loan sale;</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contractual obligations or restrictions;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impact of macroeconomic developments, including economic shutdowns, inflation or other adverse circumstances;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maintain effective internal controls;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quality employees to support current operations and future growth;</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realize the financial and strategic benefits of our digital marketplace bank business model;</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timeline for occupying our recently acquired property in San Francisco;</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tax profile;</w:t>
      </w:r>
    </w:p>
    <w:p>
      <w:pPr>
        <w:spacing w:after="0" w:line="6"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effectiveness and reliability of our information technology and computer systems, including the impact of any security or privacy breach;</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artificial intelligence on our business;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control our cost structure;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and repay our indebtedness;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potential rebranding initiative;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acquired under, and the impact of, our share repurchase and acquisition program;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 factors listed from time to time in reports we file with the SEC.</w:t>
      </w:r>
    </w:p>
    <w:p>
      <w:pPr>
        <w:spacing w:after="0" w:line="24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We caution you that the foregoing list may not contain all of the forward-looking statements in this Annual Report. We may not actually achieve the plans, intentions or expectations disclosed in forward-looking statements, and you should not place undue reliance on forward-looking statements. We have included important factors in the “Risk Factors” section of this Annual Report, as well as in our consolidated financial statements, related notes, and other information appearing elsewhere in this Annual Report and our other filings with the SEC that could, among other things, cause actual results or events to differ materially from forward-looking statements contained in this Annual Report. Forward-looking statements do not reflect the potential impact of any future acquisitions, mergers, dispositions, joint ventures or investments we may make.</w:t>
      </w:r>
    </w:p>
    <w:p>
      <w:pPr>
        <w:spacing w:after="0" w:line="2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You should read this Annual Report carefully and completely and with the understanding that actual future results may be materially different from what we expect. We do not assume any obligation to update or revise any forward-looking statements, whether as a result of new information, actual results, future events or otherwise, other than as required by law.</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Digital Bank for the Motivated Middle</w:t>
      </w:r>
    </w:p>
    <w:p>
      <w:pPr>
        <w:spacing w:after="0" w:line="2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LendingClub operates a leading nationally chartered digital bank focused on serving a large and underserved segment of creditworthy U.S. consumers that we refer to as the “motivated middle.” These consumers are digitally capable, value-conscious, and make frequent use of credit to achieve intentional financial goals; however, they are often poorly served by traditional financial institutions due to structural inefficiencies and limited transparency. Our branchless, mobile-first platform enables members to apply for and manage lending and banking products digitally, delivering competitive pricing and a streamlined experience. We focus on high-demand areas of lending where inefficiencies persist, including personal loans, auto refinance, and point-of-sale financing for major purchases.</w:t>
      </w:r>
    </w:p>
    <w:p>
      <w:pPr>
        <w:spacing w:after="0" w:line="20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Our competitive differentiation is grounded in four core advantages: (i) an underwriting platform built on nearly two decades of proprietary data and machine-learning models; (ii) products designed to provide meaningful value to our members; (iii) digital experiences that enhance transparency and drive engagement, loyalty, and operating efficiency; and (iv) a technology stack engineered for innovation and scalability. Our advanced decisioning, pricing, and risk management capabilities are enabled by an extensive and diverse dataset spanning borrower behavior, credit performance, and economic cycles. We leverage our data advantage, lower-cost deposit base, and complementary marketplace platform and bank balance sheet to optimize loan sales and retention, generating both recurring net interest income and capital-light fee revenue while maintaining attractive returns through economic cycles.</w:t>
      </w:r>
    </w:p>
    <w:p>
      <w:pPr>
        <w:spacing w:after="0" w:line="2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lending products typically serve as the entry point to our ecosystem, with members often returning for additional borrowing needs as their financial needs evolve. We supplement these lending interactions with ongoing engagement through our mobile application and award-winning banking products, including checking and savings accounts and digital tools that provide members with insights into their debt, spending, and savings behavior. We believe our expanding product suite and integrated business model enable flexibility, resilience, and the ability to efficiently scale originations across multiple lending verticals, supporting sustainable growth and long-term value creation for our members and stockholders. Since our founding in 2006, more than five million individuals have become members and more than $100 billion of loans have been originated through our platform.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Loan Origination and Deposit Business</w:t>
      </w:r>
    </w:p>
    <w:p>
      <w:pPr>
        <w:spacing w:after="0" w:line="24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sales and marketing efforts are designed to efficiently attract and retain members and support member satisfaction. We attract members through various channels such as our website and mobile app, online affiliate partners, direct mail, paid search engines, online display advertising, email, social media, strategic relationship referrals and small businesses such as merchants, healthcare providers and soon, home improvement providers. When our members need another loan or deposit product, many return to LendingClub – at a very low acquisition cost to us and experience a simple, streamlined application process for them – which increases the lifetime value of these repeat members while providing them additional opportunities to improve their financial position.</w:t>
      </w:r>
    </w:p>
    <w:p>
      <w:pPr>
        <w:spacing w:after="0" w:line="21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Once a loan application is received, multivariable, machine-learning driven, and automated processes allow us to assess risk and present decisioned applicants with one or more loan options, including the term(s), rate(s), and amount(s) for which the applicant qualifies. Once any additional verifications are completed, the loan is originated and funded often within 24 hours. Our loan products are intended to directly address the core borrowing needs of our members and are underpinned by our scalable technology platform and capabilities.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primary consumer loan products include the following:</w:t>
      </w:r>
    </w:p>
    <w:p>
      <w:pPr>
        <w:spacing w:after="0" w:line="104" w:lineRule="exact"/>
        <w:rPr>
          <w:sz w:val="20"/>
          <w:szCs w:val="20"/>
          <w:color w:val="auto"/>
        </w:rPr>
      </w:pPr>
    </w:p>
    <w:p>
      <w:pPr>
        <w:ind w:left="660" w:right="380" w:hanging="328"/>
        <w:spacing w:after="0" w:line="28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Personal Loans. </w:t>
      </w:r>
      <w:r>
        <w:rPr>
          <w:rFonts w:ascii="Times New Roman" w:cs="Times New Roman" w:eastAsia="Times New Roman" w:hAnsi="Times New Roman"/>
          <w:sz w:val="20"/>
          <w:szCs w:val="20"/>
          <w:color w:val="auto"/>
        </w:rPr>
        <w:t>Unsecured, fixed-rate, and fixed-term consumer loans that may be used for various purposes. We currently offer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borrowers multiple features to lower their cost of debt and enhance their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0"/>
          <w:szCs w:val="20"/>
          <w:color w:val="auto"/>
        </w:rPr>
        <w:t>financial position, including balance transfers (where a borrower’s existing credit card debt(s) are directly paid down and the debt is consolidated into a fixed-rate term loan), joint applications (where borrowers may receive a better rate when they jointly apply for a personal loan), and TopUp (where borrowers can easily combine their existing LendingClub loan with additional loan proceeds into a new single payment loan).</w:t>
      </w:r>
    </w:p>
    <w:p>
      <w:pPr>
        <w:spacing w:after="0" w:line="60" w:lineRule="exact"/>
        <w:rPr>
          <w:sz w:val="20"/>
          <w:szCs w:val="20"/>
          <w:color w:val="auto"/>
        </w:rPr>
      </w:pPr>
    </w:p>
    <w:p>
      <w:pPr>
        <w:ind w:left="660" w:right="40" w:hanging="328"/>
        <w:spacing w:after="0" w:line="25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Major Purchase Finance. </w:t>
      </w:r>
      <w:r>
        <w:rPr>
          <w:rFonts w:ascii="Times New Roman" w:cs="Times New Roman" w:eastAsia="Times New Roman" w:hAnsi="Times New Roman"/>
          <w:sz w:val="20"/>
          <w:szCs w:val="20"/>
          <w:color w:val="auto"/>
        </w:rPr>
        <w:t>Unsecured, fixed-rate, and fixed-term consumer loans that help borrowers manage larger planned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as elective medical, dental, and other healthcare procedures, as well as other higher cost goods and services. We partner with providers and merchants who offer our financing options directly to their customers. By leveraging our existing purchase finance capabilities, we intend to expand our loan offerings in 2026 to include home improvement financing, enabling payments directly to partner retail merchants and contractors and streamlining the customer financing experience.</w:t>
      </w:r>
    </w:p>
    <w:p>
      <w:pPr>
        <w:spacing w:after="0" w:line="59" w:lineRule="exact"/>
        <w:rPr>
          <w:rFonts w:ascii="Times New Roman" w:cs="Times New Roman" w:eastAsia="Times New Roman" w:hAnsi="Times New Roman"/>
          <w:sz w:val="20"/>
          <w:szCs w:val="20"/>
          <w:color w:val="auto"/>
        </w:rPr>
      </w:pPr>
    </w:p>
    <w:p>
      <w:pPr>
        <w:jc w:val="both"/>
        <w:ind w:left="660" w:right="20" w:hanging="328"/>
        <w:spacing w:after="0" w:line="270"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Auto Refinance. </w:t>
      </w:r>
      <w:r>
        <w:rPr>
          <w:rFonts w:ascii="Times New Roman" w:cs="Times New Roman" w:eastAsia="Times New Roman" w:hAnsi="Times New Roman"/>
          <w:sz w:val="20"/>
          <w:szCs w:val="20"/>
          <w:color w:val="auto"/>
        </w:rPr>
        <w:t>Secured consumer loans that help borrowers reduce the cost of their existing auto loan. We offer qualified borrowers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opportunity to lower their interest rate, reduce monthly payments, and/or adjust their repayment term by refinancing their existing auto loan.</w:t>
      </w:r>
    </w:p>
    <w:p>
      <w:pPr>
        <w:spacing w:after="0" w:line="18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Our commercial lending business is primarily focused on small businesses, and we participate in the U.S. Small Business Administration (SBA) lending programs, certain of which guarantee a portion of the loan in the case of borrower default. Commercial loans are sourced through relationships with businesses across the country. We underwrite loans based on the creditworthiness of businesses, including an assessment of cash flows, and on the underlying value of any collateral. In the first quarter of 2023, we ceased originating commercial real estate loans and equipment leases and currently intend to retain the existing loan portfolios to maturity. However, we continue to originate loans secured by real estate under the SBA lending programs.</w:t>
      </w:r>
    </w:p>
    <w:p>
      <w:pPr>
        <w:spacing w:after="0" w:line="21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Our deposit business includes sourcing deposits directly from customers and from third-party marketing channels and deposit brokers. For consumer depositors, we offer a range of FDIC-insured deposit products, including high-yield savings accounts, checking accounts, and certificates of deposit (CDs). Our LevelUp Savings product delivers a competitive interest rate and rewards members with our best interest rate on savings for engaging in positive ongoing savings behavior. Our flagship LevelUp Checking delivers an award-winning digital experience and member-friendly features, such as ATM fee rebates, no overdraft fees, and early direct deposits. Further, LevelUp Checking rewards our members with cash back when they make on-time LendingClub personal loan payments through their LevelUp Checking account and when they use their LevelUp Checking debit card for qualifying gas, grocery, and pharmacy purchases.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Marketplace</w:t>
      </w:r>
    </w:p>
    <w:p>
      <w:pPr>
        <w:spacing w:after="0" w:line="2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Our consumer loans are either retained by LendingClub Bank or sold to marketplace investors through our innovative and proprietary loan marketplace. The composition of our marketplace investors varies from time to time but generally includes asset managers (such as private credit and fund asset managers), other financial institutions and insurance companies. Our marketplace loan sales are executed as either loan sales or Structured Program transactions. Many of our loan sales are pursuant to singular transactions with marketplace investors. However, from time to time, we also enter into agreements with marketplace investors that outline terms of conditions pursuant to which multiple loan sales occur over an extended period of time.</w:t>
      </w:r>
    </w:p>
    <w:p>
      <w:pPr>
        <w:spacing w:after="0" w:line="2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Structured Program transactions deliver benefits to both marketplace investors and LendingClub. Marketplace investors earn compelling levered returns (benefiting from financing built into the structure) and LendingClub earns an attractive yield with remote credit risk on our retained senior securities. Since launch through the end of 2025, we sold approximately $8 billion of loans under this program.</w:t>
      </w:r>
    </w:p>
    <w:p>
      <w:pPr>
        <w:spacing w:after="0" w:line="20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Additionally, we may opportunistically and/or systematically purchase loans, including portfolios of loans that we previously originated and sold to marketplace investors.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Advantages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digital marketplace bank, we have key business model and competitive advantages over both traditional banks and fintech marketplaces.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include:</w:t>
      </w:r>
    </w:p>
    <w:p>
      <w:pPr>
        <w:spacing w:after="0" w:line="95" w:lineRule="exact"/>
        <w:rPr>
          <w:sz w:val="20"/>
          <w:szCs w:val="20"/>
          <w:color w:val="auto"/>
        </w:rPr>
      </w:pPr>
    </w:p>
    <w:p>
      <w:pPr>
        <w:ind w:left="660" w:right="40" w:hanging="328"/>
        <w:spacing w:after="0" w:line="252"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Financially attractive and resilient business model. </w:t>
      </w:r>
      <w:r>
        <w:rPr>
          <w:rFonts w:ascii="Times New Roman" w:cs="Times New Roman" w:eastAsia="Times New Roman" w:hAnsi="Times New Roman"/>
          <w:sz w:val="20"/>
          <w:szCs w:val="20"/>
          <w:color w:val="auto"/>
        </w:rPr>
        <w:t>As a bank, we benefit from two distinct revenue streams: (i) marketplace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form of origination fees from borrowers and servicing fees on loans sold to marketplace investors, which provides attractive in-period income, and (ii) net interest income earned from retaining loans and Structured Program securities, offset by interest expense on our deposits, which provides a recurring and resilient revenue source. In addition to improving our loan-level economics, our banking capabilities also substantially increase the long-term resiliency of our business by providing access to deposit funding, instead of higher-cost and more volatile third-party warehouse funding. Finally, as a digital marketplace bank without the typical brick-and-mortar branch network and related infrastructure of traditional banks, we are better able to leverage technology to meet customers where they are and provide them with smart, simple, and rewarding solutions.</w:t>
      </w:r>
    </w:p>
    <w:p>
      <w:pPr>
        <w:spacing w:after="0" w:line="79" w:lineRule="exact"/>
        <w:rPr>
          <w:rFonts w:ascii="Times New Roman" w:cs="Times New Roman" w:eastAsia="Times New Roman" w:hAnsi="Times New Roman"/>
          <w:sz w:val="20"/>
          <w:szCs w:val="20"/>
          <w:color w:val="auto"/>
        </w:rPr>
      </w:pPr>
    </w:p>
    <w:p>
      <w:pPr>
        <w:ind w:left="660" w:right="20" w:hanging="328"/>
        <w:spacing w:after="0" w:line="249" w:lineRule="auto"/>
        <w:tabs>
          <w:tab w:leader="none" w:pos="648"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Unmatched data and analytics, which power our customer experience and underwriting results. </w:t>
      </w:r>
      <w:r>
        <w:rPr>
          <w:rFonts w:ascii="Times New Roman" w:cs="Times New Roman" w:eastAsia="Times New Roman" w:hAnsi="Times New Roman"/>
          <w:sz w:val="20"/>
          <w:szCs w:val="20"/>
          <w:color w:val="auto"/>
        </w:rPr>
        <w:t>We believe that lending is essentially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data problem and that we have the technology and expertise to solve it. We serve members across a wide band of the credit spectrum and more than $100 billion of loans have been originated through our platform since 2006. Through our interactions with applicants and members, we have collected more than 150 billion cells of performance and behavioral data across thousands of attributes and various economic cycles. That data informs our activities across the customer lifecycle – from marketing to underwriting, pricing, and servicing – and informs our proprietary credit decisioning and machine learning models to rapidly adapt and adjust to changing environments. As a result of our data advantage and iterative credit modeling, third-party data shows that we are able to assess credit risk more effectively than traditional scoring models and our peer set, which allows us to expand access to credit and generate savings for members while also generating competitive risk-adjusted returns. We also believe these advantages result in lower customer acquisition costs and give us a deep understanding of our members, which helps us anticipate their needs, informs future product offerings, and enables us to effectively customize offers.</w:t>
      </w:r>
    </w:p>
    <w:p>
      <w:pPr>
        <w:spacing w:after="0" w:line="88" w:lineRule="exact"/>
        <w:rPr>
          <w:rFonts w:ascii="Times New Roman" w:cs="Times New Roman" w:eastAsia="Times New Roman" w:hAnsi="Times New Roman"/>
          <w:sz w:val="20"/>
          <w:szCs w:val="20"/>
          <w:i w:val="1"/>
          <w:iCs w:val="1"/>
          <w:color w:val="auto"/>
        </w:rPr>
      </w:pPr>
    </w:p>
    <w:p>
      <w:pPr>
        <w:ind w:left="660" w:right="20" w:hanging="328"/>
        <w:spacing w:after="0" w:line="252"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Strong, growing, and engaged customer base. </w:t>
      </w:r>
      <w:r>
        <w:rPr>
          <w:rFonts w:ascii="Times New Roman" w:cs="Times New Roman" w:eastAsia="Times New Roman" w:hAnsi="Times New Roman"/>
          <w:sz w:val="20"/>
          <w:szCs w:val="20"/>
          <w:color w:val="auto"/>
        </w:rPr>
        <w:t>Our scalable technology, customer-focused culture, and use of data and analytics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enabled us to provide loans and deposit accounts to our millions of members. Our typical member is among the industry’s most sought-after consumers: borrowers who have relatively high incomes and higher than average FICO scores. Many of our members have accumulated higher-cost debt and they want better, lower-cost solutions. We are able to help members refinance their higher-cost debt into a lower-cost, fixed-rate product, thereby providing both interest expense savings and a pathway toward an improved financial position. Our high net promoter score reflects the strong affinity our members have for our brand and the value we provide. In fact, many of our members return to us for a subsequent personal loan and/or to increase their savings through other loan products, like auto refinance, and deposit products. These repeat members have very low acquisition costs, demonstrate better loan performance, and are avid proponents of LendingClub, creating a powerful foundation for future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loan marketplace serves a broad range of investors who purchase and invest in our loans, including asset managers (such as private credit funds and fund asset managers), other financial institutions and insurance companies. Our marketplace primarily competes with other investment vehicles and asset classes, such as equities, bonds, and short-term fixed income securities. LendingClub’s key competitive advantages for marketplace investors include:</w:t>
      </w:r>
    </w:p>
    <w:p>
      <w:pPr>
        <w:spacing w:after="0" w:line="74" w:lineRule="exact"/>
        <w:rPr>
          <w:sz w:val="20"/>
          <w:szCs w:val="20"/>
          <w:color w:val="auto"/>
        </w:rPr>
      </w:pPr>
    </w:p>
    <w:p>
      <w:pPr>
        <w:ind w:left="660" w:right="180" w:hanging="328"/>
        <w:spacing w:after="0" w:line="260"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Competitive risk-adjusted returns and short duration. </w:t>
      </w:r>
      <w:r>
        <w:rPr>
          <w:rFonts w:ascii="Times New Roman" w:cs="Times New Roman" w:eastAsia="Times New Roman" w:hAnsi="Times New Roman"/>
          <w:sz w:val="20"/>
          <w:szCs w:val="20"/>
          <w:color w:val="auto"/>
        </w:rPr>
        <w:t>We have over a 15-year track record of generating competitive risk-adjusted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returns for marketplace investors. Our loans compare favorably to other alternative investment options due to their higher yield and shorter duration. We dynamically price loans based on a variety of inputs, such as competitive insights, supply and demand, and prevailing interest rates.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right="160" w:hanging="328"/>
        <w:spacing w:after="0" w:line="287"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Portfolio diversification. </w:t>
      </w:r>
      <w:r>
        <w:rPr>
          <w:rFonts w:ascii="Times New Roman" w:cs="Times New Roman" w:eastAsia="Times New Roman" w:hAnsi="Times New Roman"/>
          <w:sz w:val="20"/>
          <w:szCs w:val="20"/>
          <w:color w:val="auto"/>
        </w:rPr>
        <w:t>Loans we sell through our marketplace can offer duration, geographic, and/or asset diversification to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investors.</w:t>
      </w:r>
    </w:p>
    <w:p>
      <w:pPr>
        <w:spacing w:after="0" w:line="30" w:lineRule="exact"/>
        <w:rPr>
          <w:rFonts w:ascii="Times New Roman" w:cs="Times New Roman" w:eastAsia="Times New Roman" w:hAnsi="Times New Roman"/>
          <w:sz w:val="20"/>
          <w:szCs w:val="20"/>
          <w:color w:val="auto"/>
        </w:rPr>
      </w:pPr>
    </w:p>
    <w:p>
      <w:pPr>
        <w:ind w:left="660" w:right="200" w:hanging="328"/>
        <w:spacing w:after="0" w:line="283" w:lineRule="auto"/>
        <w:tabs>
          <w:tab w:leader="none" w:pos="64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Innovative and easy-to-use technology platform. </w:t>
      </w:r>
      <w:r>
        <w:rPr>
          <w:rFonts w:ascii="Times New Roman" w:cs="Times New Roman" w:eastAsia="Times New Roman" w:hAnsi="Times New Roman"/>
          <w:sz w:val="19"/>
          <w:szCs w:val="19"/>
          <w:color w:val="auto"/>
        </w:rPr>
        <w:t>Our marketplace brings the traditional loan trading model into the digital age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faster and more efficient transactions. Our marketplace supports same-day automated settlements, flexible real-time market-based pricing, the ability to customize marketplace investor portfolios and trading activity, and passive or active loan selection strategies.</w:t>
      </w:r>
    </w:p>
    <w:p>
      <w:pPr>
        <w:spacing w:after="0" w:line="50" w:lineRule="exact"/>
        <w:rPr>
          <w:rFonts w:ascii="Times New Roman" w:cs="Times New Roman" w:eastAsia="Times New Roman" w:hAnsi="Times New Roman"/>
          <w:sz w:val="19"/>
          <w:szCs w:val="19"/>
          <w:color w:val="auto"/>
        </w:rPr>
      </w:pPr>
    </w:p>
    <w:p>
      <w:pPr>
        <w:ind w:left="660" w:right="360" w:hanging="328"/>
        <w:spacing w:after="0" w:line="315" w:lineRule="auto"/>
        <w:tabs>
          <w:tab w:leader="none" w:pos="64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Regulated and resilient counterparty. </w:t>
      </w:r>
      <w:r>
        <w:rPr>
          <w:rFonts w:ascii="Times New Roman" w:cs="Times New Roman" w:eastAsia="Times New Roman" w:hAnsi="Times New Roman"/>
          <w:sz w:val="19"/>
          <w:szCs w:val="19"/>
          <w:color w:val="auto"/>
        </w:rPr>
        <w:t>As a national bank subject to federal regulatory oversight and an investor in our own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LendingClub is a trusted partner, which is especially important for financial institutions participating in our loan marketplace.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LendingClub’s key competitive advantages also extend to our members, including:</w:t>
      </w:r>
    </w:p>
    <w:p>
      <w:pPr>
        <w:spacing w:after="0" w:line="117" w:lineRule="exact"/>
        <w:rPr>
          <w:sz w:val="20"/>
          <w:szCs w:val="20"/>
          <w:color w:val="auto"/>
        </w:rPr>
      </w:pPr>
    </w:p>
    <w:p>
      <w:pPr>
        <w:ind w:left="660" w:hanging="328"/>
        <w:spacing w:after="0" w:line="26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Access to affordable credit. </w:t>
      </w:r>
      <w:r>
        <w:rPr>
          <w:rFonts w:ascii="Times New Roman" w:cs="Times New Roman" w:eastAsia="Times New Roman" w:hAnsi="Times New Roman"/>
          <w:sz w:val="20"/>
          <w:szCs w:val="20"/>
          <w:color w:val="auto"/>
        </w:rPr>
        <w:t>We allow members to easily apply for a loan from a desktop or mobile device, presenting a variety of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term options with no impact to their credit score. Once an offer is selected, we run credit and identity verifications, relying on automation, when possible, to reduce friction, and, for 80% of approved applicants, deposit net loan proceeds within 24 hours.</w:t>
      </w:r>
    </w:p>
    <w:p>
      <w:pPr>
        <w:spacing w:after="0" w:line="67" w:lineRule="exact"/>
        <w:rPr>
          <w:rFonts w:ascii="Times New Roman" w:cs="Times New Roman" w:eastAsia="Times New Roman" w:hAnsi="Times New Roman"/>
          <w:sz w:val="20"/>
          <w:szCs w:val="20"/>
          <w:color w:val="auto"/>
        </w:rPr>
      </w:pPr>
    </w:p>
    <w:p>
      <w:pPr>
        <w:ind w:left="660" w:right="60" w:hanging="328"/>
        <w:spacing w:after="0" w:line="27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Improvements in their financial position. </w:t>
      </w:r>
      <w:r>
        <w:rPr>
          <w:rFonts w:ascii="Times New Roman" w:cs="Times New Roman" w:eastAsia="Times New Roman" w:hAnsi="Times New Roman"/>
          <w:sz w:val="20"/>
          <w:szCs w:val="20"/>
          <w:color w:val="auto"/>
        </w:rPr>
        <w:t>Members who use a LendingClub unsecured personal loan to pay off their existing debt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reduce their cost of debt but also may increase their credit score over time.</w:t>
      </w:r>
    </w:p>
    <w:p>
      <w:pPr>
        <w:spacing w:after="0" w:line="57"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LendingClub products and services. </w:t>
      </w:r>
      <w:r>
        <w:rPr>
          <w:rFonts w:ascii="Times New Roman" w:cs="Times New Roman" w:eastAsia="Times New Roman" w:hAnsi="Times New Roman"/>
          <w:sz w:val="20"/>
          <w:szCs w:val="20"/>
          <w:color w:val="auto"/>
        </w:rPr>
        <w:t>Members have access to a growing set of financial products and services that are designed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work well together to deliver smart, simple, and rewarding solutions.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6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Historically, borrower demand for our loans is generally lower in the first and fourth quarters of the year, which can result in lower origination volume and contribute to fluctuations in our operating results. We believe that: (i) lower demand for our loans in the first quarter is attributable to the impact of tax refunds; and (ii) lower demand for our loans in the fourth quarter is attributable to holiday-driven behaviors.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primary sources of revenue include:</w:t>
      </w:r>
    </w:p>
    <w:p>
      <w:pPr>
        <w:spacing w:after="0" w:line="104" w:lineRule="exact"/>
        <w:rPr>
          <w:sz w:val="20"/>
          <w:szCs w:val="20"/>
          <w:color w:val="auto"/>
        </w:rPr>
      </w:pPr>
    </w:p>
    <w:p>
      <w:pPr>
        <w:ind w:left="660" w:right="260" w:hanging="328"/>
        <w:spacing w:after="0" w:line="287"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Net interest income. </w:t>
      </w:r>
      <w:r>
        <w:rPr>
          <w:rFonts w:ascii="Times New Roman" w:cs="Times New Roman" w:eastAsia="Times New Roman" w:hAnsi="Times New Roman"/>
          <w:sz w:val="20"/>
          <w:szCs w:val="20"/>
          <w:color w:val="auto"/>
        </w:rPr>
        <w:t>Interest earned on loans retained on our balance sheet, less interest paid on deposits and other interest-bearing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w:t>
      </w:r>
    </w:p>
    <w:p>
      <w:pPr>
        <w:spacing w:after="0" w:line="4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Origination fees. </w:t>
      </w:r>
      <w:r>
        <w:rPr>
          <w:rFonts w:ascii="Times New Roman" w:cs="Times New Roman" w:eastAsia="Times New Roman" w:hAnsi="Times New Roman"/>
          <w:sz w:val="20"/>
          <w:szCs w:val="20"/>
          <w:color w:val="auto"/>
        </w:rPr>
        <w:t>Fees charged to borrowers in connection with the origination of a loan.</w:t>
      </w:r>
    </w:p>
    <w:p>
      <w:pPr>
        <w:spacing w:after="0" w:line="107" w:lineRule="exact"/>
        <w:rPr>
          <w:rFonts w:ascii="Times New Roman" w:cs="Times New Roman" w:eastAsia="Times New Roman" w:hAnsi="Times New Roman"/>
          <w:sz w:val="20"/>
          <w:szCs w:val="20"/>
          <w:color w:val="auto"/>
        </w:rPr>
      </w:pPr>
    </w:p>
    <w:p>
      <w:pPr>
        <w:ind w:left="660" w:right="380" w:hanging="328"/>
        <w:spacing w:after="0" w:line="287"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Servicing fees. </w:t>
      </w:r>
      <w:r>
        <w:rPr>
          <w:rFonts w:ascii="Times New Roman" w:cs="Times New Roman" w:eastAsia="Times New Roman" w:hAnsi="Times New Roman"/>
          <w:sz w:val="20"/>
          <w:szCs w:val="20"/>
          <w:color w:val="auto"/>
        </w:rPr>
        <w:t>Fees to compensate us for servicing loans on behalf of marketplace investors, including managing payments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borrowers and remittances to those investors.</w:t>
      </w:r>
    </w:p>
    <w:p>
      <w:pPr>
        <w:spacing w:after="0" w:line="30" w:lineRule="exact"/>
        <w:rPr>
          <w:rFonts w:ascii="Times New Roman" w:cs="Times New Roman" w:eastAsia="Times New Roman" w:hAnsi="Times New Roman"/>
          <w:sz w:val="20"/>
          <w:szCs w:val="20"/>
          <w:color w:val="auto"/>
        </w:rPr>
      </w:pPr>
    </w:p>
    <w:p>
      <w:pPr>
        <w:ind w:left="660" w:right="140" w:hanging="328"/>
        <w:spacing w:after="0" w:line="27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Gain on sales of loans. </w:t>
      </w:r>
      <w:r>
        <w:rPr>
          <w:rFonts w:ascii="Times New Roman" w:cs="Times New Roman" w:eastAsia="Times New Roman" w:hAnsi="Times New Roman"/>
          <w:sz w:val="20"/>
          <w:szCs w:val="20"/>
          <w:color w:val="auto"/>
        </w:rPr>
        <w:t>In connection with loan sales to marketplace investors, we capitalize the initial fair value of servicing rights.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gain or loss is recorded based on the level to which the contractual servicing fee is above or below an estimated market rate of servicing at the time of sale.</w:t>
      </w:r>
    </w:p>
    <w:p>
      <w:pPr>
        <w:spacing w:after="0" w:line="47" w:lineRule="exact"/>
        <w:rPr>
          <w:rFonts w:ascii="Times New Roman" w:cs="Times New Roman" w:eastAsia="Times New Roman" w:hAnsi="Times New Roman"/>
          <w:sz w:val="20"/>
          <w:szCs w:val="20"/>
          <w:color w:val="auto"/>
        </w:rPr>
      </w:pPr>
    </w:p>
    <w:p>
      <w:pPr>
        <w:ind w:left="660" w:right="380" w:hanging="328"/>
        <w:spacing w:after="0" w:line="287"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Fair value adjustments. </w:t>
      </w:r>
      <w:r>
        <w:rPr>
          <w:rFonts w:ascii="Times New Roman" w:cs="Times New Roman" w:eastAsia="Times New Roman" w:hAnsi="Times New Roman"/>
          <w:sz w:val="20"/>
          <w:szCs w:val="20"/>
          <w:color w:val="auto"/>
        </w:rPr>
        <w:t>Adjustments to the carrying value of loans, for which we have elected to account for under the fair value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 to reflect their fair value.</w:t>
      </w:r>
    </w:p>
    <w:p>
      <w:pPr>
        <w:spacing w:after="0" w:line="169"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The timing and classification of revenue depends, among other things, on whether the loans are accounted for at amortized cost or at fair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elected to account for loans held for sale (HFS) under the fair value option. Revenue from HFS loans includes origination fees recognized at the time of loan origination, gain on sales of loans (recognition of servicing asset), servicing fees received from marketplace investors over the life of the sold loan, and net fair value adjustments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(gains or losses from sale prices in excess of or less than the loan principal amount sold and realized net charge-offs). We also earn interest income on HFS loans from the time of origination until the loans have been sold.</w:t>
      </w:r>
    </w:p>
    <w:p>
      <w:pPr>
        <w:spacing w:after="0" w:line="17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Since becoming a bank in 2021 through 2025, loans originated as held for investment (HFI) were, and we expect will continue to be, accounted for at amortized cost. Revenue from HFI loans primarily consists of interest income, which includes the stated interest rate on the loans and the amortization of origination fees and marketing costs that are deferred at origination. We establish a CECL allowance on these loans based on an estimated net present value of lifetime expected credit losses. This allowance is initially recognized through earnings at the time of origination. Due to the timing difference caused by origination fee and marketing cost deferrals and upfront credit loss provisioning, earnings are initially disproportionately impacted from HFI loans accounted for at amortized cost before benefiting from higher levels of interest income in later periods. In addition, certain non-routine loan portfolio purchases designated as HFI were accounted under the fair value option on a transaction-specific basis, due to the short remaining duration of the acquired portfolios. Revenue from loan portfolio purchases includes interest income and net fair value adjustments which are recorded in current period earnings.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Effective January 1, 2026, we elected the fair value option to account for HFI loans that were originated on or after that date. Prior to this election, loans that were originated as HFI were, and we expect will continue to be, accounted for at amortized cost, which required the initial recognition of an allowance for lifetime expected credit losses under the CECL methodology, recognized within “Provision for credit losses” on the Income Statement. We believe that applying the fair value option, rather than the CECL methodology, to HFI loans more accurately reflects the in-period economic performance of the loans by better aligning the value of the loan to its then fair value. Under the fair value option, origination fee revenue and marketing costs are recognized in earnings at the time of loan origination, rather than being deferred, and changes in fair value of loans, including the impact of net credit losses, are recognized in current period earnings within “Net fair value adjustments” on the Income Statement. Further, by applying the fair value option to HFI loans, we are applying the same accounting methodology to all loans we originate after January 1, 2026, as both HFI and HFS loans will be measured at fair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7"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The financial services industry is highly competitive and rapidly changing. We compete with a broad array of traditional and new financial services providers, including banks and non-banks. Some of these competitors have more resources and/or less regulatory oversight, and some may have lower cost structures. Further, the competition within the financial services industry is increasing as technology (such as artificial intelligence) enables efficiencies and innovations, additional companies obtain bank charters and non-banks expand the scope of their products and services.</w:t>
      </w:r>
    </w:p>
    <w:p>
      <w:pPr>
        <w:spacing w:after="0" w:line="196"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Item 1A. Risk Factors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Substantial and increasing competition in our industry may harm our business</w:t>
      </w:r>
      <w:r>
        <w:rPr>
          <w:rFonts w:ascii="Times New Roman" w:cs="Times New Roman" w:eastAsia="Times New Roman" w:hAnsi="Times New Roman"/>
          <w:sz w:val="20"/>
          <w:szCs w:val="20"/>
          <w:color w:val="auto"/>
        </w:rPr>
        <w:t>” for further discussion of the potential impact of competition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Supervision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General</w:t>
      </w:r>
    </w:p>
    <w:p>
      <w:pPr>
        <w:spacing w:after="0" w:line="26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The U.S. financial services and banking industry is highly regulated. The bank regulatory regime is intended primarily for the protection of customers, the public, the financial system and the Deposit Insurance Fund (DIF) of the Federal Deposit Insurance Corporation (FDIC), rather than our stockholders or creditors.</w:t>
      </w:r>
    </w:p>
    <w:p>
      <w:pPr>
        <w:spacing w:after="0" w:line="2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legal and regulatory regime affects virtually all aspects of our operations. Statutes, regulations and regulatory and supervisory policies govern, among other things, the scope of activities that we may conduct and the manner in which we may conduct them; our business plan and growth; our board, management, and risk management infrastructure; the type, terms, and pricing of our products and services; our loan and investment portfolio; our capital and liquidity levels; our reserves against deposits; our ability to pay dividends, buy-back stock or distribute capital; and our ability to engage in mergers, acquisitions, strategic initiatives and transactions between LC Bank</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and its affiliates. The legal and regulatory framework is continually under review by legislatures, regulators and other governmental bodies, and changes regularly occur through the enactment or amendment of laws and regulations, through shifts in policy, implementation or enforcement or through legal challenges to new and/or existing agency regulations and interpretations. Changes are difficult to predict and could have significant effects on our business.</w:t>
      </w:r>
    </w:p>
    <w:p>
      <w:pPr>
        <w:spacing w:after="0" w:line="1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material regulatory requirements that are applicable to us and our subsidiaries are summarized below. The description below, as well as other descriptions of laws and regulations in this Annual Report, are not intended to summarize all laws and regulations applicable to us and our subsidiaries, and are based upon the statutes, regulations, policies, interpretive letters and other written guidance that are in effect as of the date of this Annual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Regulatory Framework</w:t>
      </w:r>
    </w:p>
    <w:p>
      <w:pPr>
        <w:spacing w:after="0" w:line="2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are subject to regulation and supervision by multiple regulatory bodies. As a bank holding company, the Company is subject to the Bank Holding Company Act of 1956 (BHCA) and is subject to ongoing and comprehensive supervision, regulation, examination and enforcement by the Board of Governors of the Federal Reserve System (FRB). The FRB acts as the supervisor of the consolidated operations of bank holding companies.</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As a national bank, LC Bank is subject to ongoing and comprehensive supervision, regulation, examination and enforcement by the Office of the Comptroller of the Currency (OCC). The OCC charges fees to national banks, including LC Bank, in connection with its supervisory activities. Further, as a depository institution with assets over $10 billion, LC Bank is subject to supervision and enforcement authority relating to federal consumer financial laws and regulations by the Consumer Financial Protection Bureau (CFPB).</w:t>
      </w:r>
    </w:p>
    <w:p>
      <w:pPr>
        <w:spacing w:after="0" w:line="19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LC Bank’s deposits are insured by the DIF of the FDIC up to applicable legal limits. As an FDIC-insured depository institution, LC Bank is subject under certain circumstances to supervision, regulation and examination by the FDIC. The FDIC charges deposit insurance assessments to FDIC-insured institutions, including LC Bank, to fund and support the DIF. The rate of these deposit insurance assessments is based on, among other things, the risk characteristics of LC Bank. The FDIC has the power to terminate LC Bank’s deposit insurance if it determines LC Bank is engaging in unsafe or unsound practices. Federal banking laws provide for the appointment of the FDIC as receiver in the event LC Bank were to fail, such as in connection with undercapitalization, insolvency, unsafe or unsound condition or other financial distress. In a receivership, the claims of the receiver for administrative expenses and the claims of LC Bank’s depositors (and those of the FDIC as subrogee of LC Bank) would have priority over other general unsecured claims against LC Bank.</w:t>
      </w:r>
    </w:p>
    <w:p>
      <w:pPr>
        <w:spacing w:after="0" w:line="22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We are subject to the disclosure and regulatory requirements of the Securities Act and the Exchange Act, both as administered by the SEC. Our common stock is listed on the New York Stock Exchange (NYSE) under the trading symbol “LC” and therefore we are also subject to the rules of the NYSE for listed companies.</w:t>
      </w:r>
    </w:p>
    <w:p>
      <w:pPr>
        <w:spacing w:after="0" w:line="2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Notwithstanding the forgoing, the change in U.S. presidential administration and composition of the U.S. Congress has led to significant changes to the existence, priorities, scope, practices and/or staffing levels of various regulatory agencies. For example, in February 2025, the current presidential administration directed the CFPB to, among other things, suspend rule implementations and cease supervision activities; and while the CFPB is still operating, it has rescinded rules set under the prior U.S. presidential administration. For more information, see “</w:t>
      </w:r>
      <w:r>
        <w:rPr>
          <w:rFonts w:ascii="Times New Roman" w:cs="Times New Roman" w:eastAsia="Times New Roman" w:hAnsi="Times New Roman"/>
          <w:sz w:val="20"/>
          <w:szCs w:val="20"/>
          <w:i w:val="1"/>
          <w:iCs w:val="1"/>
          <w:color w:val="auto"/>
        </w:rPr>
        <w:t>Item 1A. Risk Factors – Changes in the legal, regulatory or political environment could adversely affect our business, financial condition,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results of operations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Broad Powers to Ensure Safety and Soundness</w:t>
      </w:r>
    </w:p>
    <w:p>
      <w:pPr>
        <w:spacing w:after="0" w:line="260"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A principal objective of the U.S. bank regulatory system is to ensure the safety and soundness of banking organizations. Safety and soundness is a broad concept that includes financial, operational, compliance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reputational considerations, including matters such as capital, asset quality, quality of board and management oversight, earnings, liquidity, and sensitivity to market and interest rate risk.</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U.S. banking regulators have broad examination and enforcement authority. The regulators require banking organizations to file detailed periodic reports and regularly examine the operations of banking organizations. Banking organizations that do not meet the regulators’ supervisory expectations can be subjected to increased scrutiny and supervisory criticism. The regulators have various remedies available, which may be public or of a confidential supervisory nature, if they determine that an institution’s condition, management, operations or risk profile is unsatisfactory. The regulators may also take action if they determine that the banking organization or its management is violating or has violated any law or regulation. The regulators have the power to, among other things:</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require affirmative actions to correct any violation or practice;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issue administrative orders that can be judicially enforced;</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direct increases in capital;</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direct the sale of subsidiaries or other assets;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limit dividends and distributions;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restrict growth and activities;</w:t>
      </w:r>
    </w:p>
    <w:p>
      <w:pPr>
        <w:spacing w:after="0" w:line="30" w:lineRule="exact"/>
        <w:rPr>
          <w:rFonts w:ascii="Arial" w:cs="Arial" w:eastAsia="Arial" w:hAnsi="Arial"/>
          <w:sz w:val="22"/>
          <w:szCs w:val="22"/>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parameters, obligations and/or limitations with respect to the operation of our business;</w:t>
      </w:r>
    </w:p>
    <w:p>
      <w:pPr>
        <w:spacing w:after="0" w:line="9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assess civil monetary penalties;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remove officers and directors;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terminate deposit insurance.</w:t>
      </w:r>
    </w:p>
    <w:p>
      <w:pPr>
        <w:spacing w:after="0" w:line="2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Engaging in unsafe or unsound practices or failing to comply with applicable laws, regulations and supervisory agreements could subject us and our subsidiaries or their officers, directors and institution-affiliated parties to a broad variety of sanctions or remedies, including those described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Limits on Activities and Approval Requirements</w:t>
      </w:r>
    </w:p>
    <w:p>
      <w:pPr>
        <w:spacing w:after="0" w:line="2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BHCA generally restricts the Company’s ability, directly or indirectly, to engage in, or acquire more than 5% of any class of voting securities of a company engaged in, activities other than those determined by the FRB to be so closely related to banking as to be a proper incident thereto. The Gramm-Leach-Bliley Act expanded the scope of permissible activities to include those that are financial in nature or incidental or complementary to a financial activity for a bank holding company that elects to be a financial holding company, which requires the satisfaction of certain conditions. We have not elected financial holding company status.</w:t>
      </w:r>
    </w:p>
    <w:p>
      <w:pPr>
        <w:spacing w:after="0" w:line="21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The bank regulatory framework requires that we obtain prior approval of one or more regulators for various initiatives or corporate actions, including acquisitions or minority investments, the establishment, relocation or closure of branches, certain dividends or capital distributions. Regulators take into account a range of factors in determining whether to grant a requested approval, including the supervisory status of the applicant and its affiliates. Thus, there is no guarantee that a particular proposal by us would receive the required regulatory approvals.</w:t>
      </w:r>
    </w:p>
    <w:p>
      <w:pPr>
        <w:spacing w:after="0" w:line="18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The Community Reinvestment Act (CRA) requires federal banking regulators, in their review of certain applications by banking organizations, to take into account the applicant’s record in helping meet the credit needs of its community, including low- and moderate-income neighborhoods. LC Bank is subject to periodic examination under the CRA by the OCC, which will assign ratings based on the methodologies set forth in its regulations and guidance. Less favorable CRA ratings, or concerns raised under the CRA, may result in negative regulatory consequences for LC Bank. In July 2025, the federal banking regulators provided notice regarding a change in position on how the examine banks under regulations implementing the CRA that includes a potential for</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implementing new proposed rules, and subject to the outcome of related litigation and/or implementation of the new proposed rules, may impact how certain activities may be considered, and how regulators may assess performance, under the CRA.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Company as Source of Strength for LC Bank</w:t>
      </w:r>
    </w:p>
    <w:p>
      <w:pPr>
        <w:spacing w:after="0" w:line="2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Federal law and the FRB policy require that a bank holding company serve as a source of financial and managerial strength for any FDIC-insured depository institution that it controls. Thus, if LC Bank were to be in financial distress or to otherwise be viewed by the regulators as in an unsatisfactory condition, then the Federal Reserve has the authority to require the Company to act as a source of strength for LC Bank, which could include providing additional capital or liquidity support, or take other action, in support of LC Bank, even if doing so is not otherwise in the best interest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Capital and Liquidity Requirements and Prompt Corrective Action</w:t>
      </w:r>
    </w:p>
    <w:p>
      <w:pPr>
        <w:spacing w:after="0" w:line="2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and LC Bank are expected to have established policies and practices for identifying, measuring, monitoring and controlling their funding and liquidity risks. The banking regulators view capital levels as important indicators of an institution’s financial soundness. As a general matter, FDIC-insured depository institutions and their holding companies are required to maintain a specified level of capital relative to the amount and types of assets they hold. While capital can serve as an important cushion against losses, higher capital requirements can also adversely affect an institution’s ability to grow and/or increase leverage through deposit-gathering or other sources of funding.</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Company and LC Bank are each subject to generally similar capital requirements adopted by the FRB and the OCC, respectively. These requirements establish required minimum ratios for common equity tier 1 (CET1) risk-based capital, Tier 1 risk-based capital, total risk-based capital and a Tier 1 leverage ratio; set risk-weighting for assets and certain other items for purposes of the risk-based capital ratios; require an additional capital conservation buffer over the minimum required capital ratios in order to avoid certain limitations on paying dividends, engaging in share repurchases, and paying discretionary bonuses; and define what qualifies as capital for purposes of meeting the capital requirements. The U.S. capital requirements generally are modeled off the Capital Accords of the Basel Committee on Banking Supervision (BCBS). Specifically, the capital thresholds in order to be regarded as a well-capitalized institution under the BCBS standardized approach for U.S. banking organizations are as follows: a CET1 risk-based capital ratio of 6.5%, a Tier 1 risk-based capital ratio of 8.0%, a total risk-based capital ratio of 10.0% and a Tier 1 leverage ratio of 5.0%. The regulators assess any particular institution’s capital adequacy based on numerous factors and may require a particular banking organization to maintain capital at levels higher than the generally applicable minimums.</w:t>
      </w:r>
    </w:p>
    <w:p>
      <w:pPr>
        <w:spacing w:after="0" w:line="21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The Federal Deposit Insurance Act provides for a system of “prompt corrective action” (PCA). The PCA regime provides for capitalization categories ranging from “well-capitalized” to “critically undercapitalized.” An institution’s PCA category is determined primarily by its regulatory capital ratios. The PCA requires remedial actions and imposes limitations that become increasingly stringent as an institution’s condition deteriorates and its PCA capitalization category declines. Among other things, institutions that are less than well-capitalized become subject to increasingly stringent restrictions on their ability to accept and/or rollover brokered deposits.</w:t>
      </w:r>
    </w:p>
    <w:p>
      <w:pPr>
        <w:spacing w:after="0" w:line="200"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In addition to capital requirements, depository institutions are required to maintain noninterest-bearing reserves at specified levels against their transaction accounts and certain non-personal time deposits.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Regulatory Limits on Dividends and Distributions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ability of the Company or LC Bank to pay dividends, repurchase stock and make other capital distributions is limited by regulatory capital rules and other aspects of the regulatory regime. For example, a policy statement of the FRB provides that, among other things, a bank holding company generally should not pay dividends if its net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income for the past year is not sufficient to cover both the cash dividends and a rate of earnings retention that is consistent with the company’s capital needs, asset quality, and overall financial condition. Because substantially all of our business activities, income and cash flow are expected to be generated by LC Bank, an inability of LC Bank to pay dividends or distribute capital to the Company would adversely affect the Company’s liquidity.</w:t>
      </w:r>
    </w:p>
    <w:p>
      <w:pPr>
        <w:spacing w:after="0" w:line="195"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9"/>
          <w:szCs w:val="19"/>
          <w:color w:val="auto"/>
        </w:rPr>
        <w:t>See “</w:t>
      </w:r>
      <w:r>
        <w:rPr>
          <w:rFonts w:ascii="Times New Roman" w:cs="Times New Roman" w:eastAsia="Times New Roman" w:hAnsi="Times New Roman"/>
          <w:sz w:val="19"/>
          <w:szCs w:val="19"/>
          <w:i w:val="1"/>
          <w:iCs w:val="1"/>
          <w:color w:val="auto"/>
        </w:rPr>
        <w:t>Part II – Item 8. Financial Statements and Supplementary Data – Notes to Consolidated Financial Statements – Note 19. Regulatory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Requirements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Item 1A. Risk Factors – Risks Related to Regulation, Supervision and Compliance</w:t>
      </w:r>
      <w:r>
        <w:rPr>
          <w:rFonts w:ascii="Times New Roman" w:cs="Times New Roman" w:eastAsia="Times New Roman" w:hAnsi="Times New Roman"/>
          <w:sz w:val="19"/>
          <w:szCs w:val="19"/>
          <w:color w:val="auto"/>
        </w:rPr>
        <w:t>”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Consumer Protection</w:t>
      </w:r>
    </w:p>
    <w:p>
      <w:pPr>
        <w:spacing w:after="0" w:line="2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are subject to a broad array of federal, state and local laws and regulations that govern almost every aspect of our business relationships with consumers. These laws relate to, among other things, the content and adequacy of disclosures, pricing and fees, fair lending, anti-discrimination, privacy, cybersecurity, usury, mortgages and housing finance, lending to service members, escheatment, debt collection, loan servicing, collateral secured lending, availability of funds and unfair, deceptive or abusive acts or practices.</w:t>
      </w:r>
    </w:p>
    <w:p>
      <w:pPr>
        <w:spacing w:after="0" w:line="2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 CFPB has broad authority related to federal consumer financial laws and regulations impacting the provision of consumer financial products and services, and has substantial power to define the rights of consumers and responsibilities of financial institutions. In addition, the CFPB has primary supervision and enforcement authority relating to these federal consumer financial laws and regulations over banks with assets of $10 billion or more. As noted above, as a depository institution with assets over $10 billion, LC Bank is subject to supervision and enforcement authority relating to federal consumer financial laws and regulations by the CFPB. Many consumer financial laws and regulations adopted or amended by the CFPB currently apply to us and, prior to the CFPB, the OCC supervised our compliance with respect to these laws and regulations.</w:t>
      </w:r>
    </w:p>
    <w:p>
      <w:pPr>
        <w:spacing w:after="0" w:line="220"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20"/>
          <w:szCs w:val="20"/>
          <w:color w:val="auto"/>
        </w:rPr>
        <w:t>If we fail to comply with these laws and regulations, we may be subject to significant penalties, judgments, other monetary or injunctive remedies, lawsuits (including putative class action lawsuits and actions by state and local attorneys general or other officials), customer rescission rights, supervisory or enforcement actions, and civil or criminal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Anti-Money Laundering, Sanctions and Financial Crime</w:t>
      </w:r>
    </w:p>
    <w:p>
      <w:pPr>
        <w:spacing w:after="0" w:line="2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are subject to a wide range of laws related to anti-money laundering (AML), anti-corruption, anti-bribery, economic sanctions and prevention of financial crime, including the Bank Secrecy Act, the USA PATRIOT Act and economic sanctions programs. We are required to, among other things, maintain an effective anti-money laundering and counter-terrorist compliance program, identify and file suspicious activity and currency transaction reports, and block or reject transactions with sanctioned persons or jurisdictions. Compliance with these laws requires significant investment of management attention and resources. These laws are enforced by a number of federal and state regulatory and enforcement authorities, including the FRB, OCC, Office of Foreign Assets Control,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Third-Party Relationship Risk Management</w:t>
      </w:r>
    </w:p>
    <w:p>
      <w:pPr>
        <w:spacing w:after="0" w:line="260"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9"/>
          <w:szCs w:val="19"/>
          <w:color w:val="auto"/>
        </w:rPr>
        <w:t>We utilize third-party service providers to perform a wide range of operations and other functions, which may present various risks. Our regulators expect us to maintain an effective program for managing risk arising from third-party relationships, which should be commensurate with the level of risk and complexity of our business and our third-party relationships. If not managed effectively, the use of third-party service providers may expose us to risks that could result in regulatory action, financial loss, litigation, and reputational harm.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Privacy, Information Technology and Cybersecurity</w:t>
      </w:r>
    </w:p>
    <w:p>
      <w:pPr>
        <w:spacing w:after="0" w:line="26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We are subject to various laws related to the privacy of consumer information. For example, the Company and its subsidiaries are required under federal law periodically to disclose to their retail clients the Company’s policies and practices with respect to the sharing of nonpublic client information with their affiliates and others, and the confidentiality and security of that information. In some cases, LC Bank must obtain a consumer’s consent before sharing information with an unaffiliated third party, and LC Bank must allow a consumer to opt out of LC Bank’s sharing of information with its affiliates for marketing and certain other purposes. We are also subject to laws and regulatory requirements related to information technology and cybersecurity. For example, the Federal Financial Institutions Examination Council (FFIEC), which is a council comprised of the primary federal banking regulators, has issued guidance and supervisory expectations for banking organizations with respect to information technology and cybersecurity. Our regulators regularly examine us for compliance with applicable laws and adherence to industry best practices with respect to these topics. For example, they will evaluate our security of user and customer credentials, business continuity planning, and the ability to identify and thwart cyber-attacks. The federal banking regulators have also implemented rules to require banks and their service providers to provide certain notification when certain cybersecurity incidents occur.</w:t>
      </w:r>
    </w:p>
    <w:p>
      <w:pPr>
        <w:spacing w:after="0" w:line="19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State regulators have also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 For example, the California Privacy Rights Act of 2020 became fully operative on January 1, 2023. We expect this trend of state-level activity in those areas to continue and are monitoring developments in the states in which our customers are located.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Limitations on Transactions with Affiliates and Loans to Insiders</w:t>
      </w:r>
    </w:p>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LC Bank is subject to restrictions on its ability to conduct transactions with affiliates and other related parties. For example, federal banking laws impose quantitative limits, qualitative requirements, and collateral standards on certain extensions of credit and other transactions by an insured depository institution with, or for the benefit of, its affiliates. In addition, most types of transactions by an insured depository institution with, or for the benefit of, an affiliate must be on terms substantially the same or at least as favorable to the insured depository institution as if the transaction were conducted with an unaffiliated third party. Federal banking laws also impose restrictions and procedural requirements in connection with the extension of credit by an insured depository institution to directors, executive officers, principal stockholders (including the Company) and their related interests. In addition, extensions of credit between an insured depository institution and its executive officers, directors, principal stockholders, and their related interests are also limited by federal law. The Sarbanes-Oxley Act generally prohibits loans by public companies to their executive officers and directors. However, there is a specific exception for loans by financial institutions, such as LC Bank, to its executive officers and directors that are made in compliance with federal banking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Acquisition of a Significant Interest in the Company</w:t>
      </w:r>
    </w:p>
    <w:p>
      <w:pPr>
        <w:spacing w:after="0" w:line="2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Banking laws impose various regulatory requirements on parties that may seek to acquire a significant interest in the Company. For example, the Change in Bank Control Act of 1978 would generally require that any party file a formal notice with, and obtain non-objection of, the FRB prior to acquiring (directly or indirectly, whether alone or acting in concert with any other party) 10% or more of any class of voting securities of the Company. Further approval requirements and significant ongoing regulatory consequences would apply to any company that (directly or indirectly, whether alone or as part of an association with another company) seeks to acquire “control” of the Company or</w:t>
      </w:r>
    </w:p>
    <w:p>
      <w:pPr>
        <w:spacing w:after="0" w:line="2" w:lineRule="exact"/>
        <w:rPr>
          <w:sz w:val="20"/>
          <w:szCs w:val="20"/>
          <w:color w:val="auto"/>
        </w:rPr>
      </w:pPr>
    </w:p>
    <w:p>
      <w:pPr>
        <w:ind w:right="620"/>
        <w:spacing w:after="0" w:line="253" w:lineRule="auto"/>
        <w:rPr>
          <w:sz w:val="20"/>
          <w:szCs w:val="20"/>
          <w:color w:val="auto"/>
        </w:rPr>
      </w:pPr>
      <w:r>
        <w:rPr>
          <w:rFonts w:ascii="Times New Roman" w:cs="Times New Roman" w:eastAsia="Times New Roman" w:hAnsi="Times New Roman"/>
          <w:sz w:val="20"/>
          <w:szCs w:val="20"/>
          <w:color w:val="auto"/>
        </w:rPr>
        <w:t>LC Bank for purposes of the BHCA. The determination whether a party “controls” a depository institution or its holding company for purposes of these laws is based on applicable regulations and all of the facts and circumstances surrounding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Effect on Economic Environment</w:t>
      </w:r>
    </w:p>
    <w:p>
      <w:pPr>
        <w:spacing w:after="0" w:line="26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The policies of regulatory authorities, including the monetary policy of the FRB, have a significant effect on the operating results of bank holding companies and their subsidiaries. Among the means available to the FRB to affect the money supply are open market operations in U.S. government securities, changes in the discount rate on borrowings and changes in reserve requirements with respect to deposits. These means are used in varying combinations to influence overall growth and distribution of bank loans, investments and deposits, and their use may affect interest rates charged on loans or paid for deposits. The FRB monetary policies have materially affected the operating results of commercial banks in the past and are expected to continue to do so in the future. Although we conduct stress tests to measure and prepare for the impact of potential changes in monetary policy, we cannot predict with certainty the nature of future monetary policies and the effect of such policies on our business and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Issuing Bank Model</w:t>
      </w:r>
    </w:p>
    <w:p>
      <w:pPr>
        <w:spacing w:after="0" w:line="2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Prior to becoming a bank holding company and establishing LC Bank, our issuing bank for unsecured personal and auto refinance loans was WebBank, a Utah-chartered industrial bank. Our partner banks for education and patient finance loans were NBT Bank and Comenity Capital Bank. NBT Bank is subject to oversight by the OCC and was phased out as a partner in 2021. Comenity Capital Bank, which originates, owns and services its loans, is subject to oversight by the FDIC and the Utah Department of Financial Institutions, and continues to be a partner. These authorities impose obligations and restrictions on our activities and the loans facilitated through our lending marketplace through issuing and partner banks. With respect to the issuing bank model, there have been challenges to the ability of a bank to “export” interest rates permitted by the laws of the state where the bank is located. For more information, see “</w:t>
      </w:r>
      <w:r>
        <w:rPr>
          <w:rFonts w:ascii="Times New Roman" w:cs="Times New Roman" w:eastAsia="Times New Roman" w:hAnsi="Times New Roman"/>
          <w:sz w:val="20"/>
          <w:szCs w:val="20"/>
          <w:i w:val="1"/>
          <w:iCs w:val="1"/>
          <w:color w:val="auto"/>
        </w:rPr>
        <w:t>Item 1A. Risk Factors – Any challenge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or adverse consequence from our prior use of the issuing bank partnership model (or litigation or legislation aimed at thwarting certain transactions based on this model) may harm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Regulatory Examinations and Actions Relating to the Company’s Legacy Business</w:t>
      </w:r>
    </w:p>
    <w:p>
      <w:pPr>
        <w:spacing w:after="0" w:line="26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9"/>
          <w:szCs w:val="19"/>
          <w:color w:val="auto"/>
        </w:rPr>
        <w:t>The Company is subject to examination for compliance with applicable laws and regulations in the states in which it is licensed. Prior to becoming a bank holding company and establishing LC Bank, the Company conducted its business as a non-bank entity and maintained various financial services licenses in numerous jurisdictions. Since establishing LC Bank, the vast majority of the Company’s business is conducted through LC Bank pursuant to the laws applicable to national banks. Accordingly, many state level regulations and licensing requirements no longer apply to the Company in part because: (i) it is a bank holding company operating a national bank and therefore subject to the purview of the federal banking regulations and regulators, and (ii) the Company has ceased certain types of operations that were unique to its legacy business model, such as the LendingClub Member Payment Dependent Notes (Retail Notes) program.</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Therefore, the Company has returned, and may continue to return, certain state financial services licenses that were used for legacy business activities that have since been discontinued. Nevertheless, even after state financial services licenses are returned, the Company may continue to be subject to the regulation, supervision and enforcement of various state regulatory authorities with respect to legacy or residual activities. Furthermore, the Company continues to maintain certain state licenses, which continue to subject the Company to the regulation, supervision and enforcement of some state regulatory authorities.</w:t>
      </w:r>
    </w:p>
    <w:p>
      <w:pPr>
        <w:spacing w:after="0" w:line="219"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20"/>
          <w:szCs w:val="20"/>
          <w:color w:val="auto"/>
        </w:rPr>
        <w:t>For more information on how the regulatory environment, enforcement actions, findings and ratings could also have an impact on our strategies, the value of our assets, or otherwise adversely affect our business see “</w:t>
      </w:r>
      <w:r>
        <w:rPr>
          <w:rFonts w:ascii="Times New Roman" w:cs="Times New Roman" w:eastAsia="Times New Roman" w:hAnsi="Times New Roman"/>
          <w:sz w:val="20"/>
          <w:szCs w:val="20"/>
          <w:i w:val="1"/>
          <w:iCs w:val="1"/>
          <w:color w:val="auto"/>
        </w:rPr>
        <w:t>Item 1A. Risk Factors – Risks Related to Regulation,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Supervision and Compliance.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6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To establish and protect our technology and intellectual property rights, we rely on a combination of copyright, trade secret and other rights, as well as confidentiality procedures, non-disclosure agreements with third parties, employee disclosure and invention assignment agreements, and other contractual rights. We are not dependent on any one patent, related group of patents, or any other single right to use intellectual property. Despite our efforts to protect our proprietary rights, third parties may, in an authorized or unauthorized manner, attempt to use, copy, or otherwise obtain and market or distribute our intellectual property rights or technology, or otherwise develop a product with the same functionality as our solution. In addition, our competitors may develop products that are similar to our technology. Policing all unauthorized use of our intellectual property rights is nearly impossible, and we cannot be certain that the steps we have taken or will take in the future will prevent misappropriations of our technology or intellectual property rights.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The Company and its consolidated subsidiaries had 1,075 employees as of December 31, 2025, all of whom were located in the United States. Our success depends, in large part, on our ability to recruit, develop, motivate, and retain employees with the skills to execute our long-term strategy. We participate in a competitive market for talent and aim to distinguish ourselves by offering our employees the opportunity to make a meaningful positive impact on the financial success of Americans in an innovative technology-oriented environment. We also offer competitive compensation and benefits. Our compensation programs consist primarily of base salary, annual corporate bonus opportunity, and long-term equity and cash awards. We periodically conduct pay equity surveys to ensure our compensation programs are applied equitably across our workforce. Our benefits programs consist of comprehensive health, dental, and welfare benefits, including a 401(k) matching program and standalone mental health coverage. Since 2022, we have adopted a hybrid in-office work model.</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strive to create a welcoming and empowering environment where our employees feel that they are reaching their full potential, are highly engaged and are doing what they do best every day to accomplish our mission and vision. We support our employees professionally through onboarding programs, on-the-job training, career development sessions and performance check-ins. We monitor employee satisfaction and engagement through semi-annual engagement surveys. Our employee experience has earned a number of external recognitions, including being named to Newsweek’s list of the most loved workplaces.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Diversity of background and experience are core to our corporate culture because, among other things, we believe a diversity of talent better reflects, and thereby better allows us to serve, our customer base. We have executive-sponsored leadership programs and resource groups for all employees, as well as an allyship program designed to provide all interested employees with mentorship opportunities designed to enhance community and inclusiveness within the workplace. We also maintain a Business Conduct and Ethics Policy, which, among other things, sets forth numerous policies designed to provide for a safe, ethical, respectful and compliant work environment.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 xml:space="preserve">Our website address is </w:t>
      </w:r>
      <w:r>
        <w:rPr>
          <w:rFonts w:ascii="Times New Roman" w:cs="Times New Roman" w:eastAsia="Times New Roman" w:hAnsi="Times New Roman"/>
          <w:sz w:val="20"/>
          <w:szCs w:val="20"/>
          <w:u w:val="single" w:color="auto"/>
          <w:color w:val="auto"/>
        </w:rPr>
        <w:t>www.lendingclub.com.</w:t>
      </w:r>
      <w:r>
        <w:rPr>
          <w:rFonts w:ascii="Times New Roman" w:cs="Times New Roman" w:eastAsia="Times New Roman" w:hAnsi="Times New Roman"/>
          <w:sz w:val="20"/>
          <w:szCs w:val="20"/>
          <w:color w:val="auto"/>
        </w:rPr>
        <w:t xml:space="preserve"> At our investor relations website, </w:t>
      </w:r>
      <w:r>
        <w:rPr>
          <w:rFonts w:ascii="Times New Roman" w:cs="Times New Roman" w:eastAsia="Times New Roman" w:hAnsi="Times New Roman"/>
          <w:sz w:val="20"/>
          <w:szCs w:val="20"/>
          <w:u w:val="single" w:color="auto"/>
          <w:color w:val="auto"/>
        </w:rPr>
        <w:t>ir.lendingclub.com</w:t>
      </w:r>
      <w:r>
        <w:rPr>
          <w:rFonts w:ascii="Times New Roman" w:cs="Times New Roman" w:eastAsia="Times New Roman" w:hAnsi="Times New Roman"/>
          <w:sz w:val="20"/>
          <w:szCs w:val="20"/>
          <w:color w:val="auto"/>
        </w:rPr>
        <w:t>, we make available free of charge the following information and capabilities:</w:t>
      </w:r>
    </w:p>
    <w:p>
      <w:pPr>
        <w:spacing w:after="0" w:line="38" w:lineRule="exact"/>
        <w:rPr>
          <w:sz w:val="20"/>
          <w:szCs w:val="20"/>
          <w:color w:val="auto"/>
        </w:rPr>
      </w:pPr>
    </w:p>
    <w:p>
      <w:pPr>
        <w:ind w:left="660" w:right="300" w:hanging="328"/>
        <w:spacing w:after="0" w:line="281"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any amendments to these reports as soon as reasonably practicable after they are electronically filed with, or furnished to, the SEC;</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Press releases, including with respect to our quarterly earnings;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public conference calls and webcasts;</w:t>
      </w:r>
    </w:p>
    <w:p>
      <w:pPr>
        <w:spacing w:after="0" w:line="67" w:lineRule="exact"/>
        <w:rPr>
          <w:rFonts w:ascii="Times New Roman" w:cs="Times New Roman" w:eastAsia="Times New Roman" w:hAnsi="Times New Roman"/>
          <w:sz w:val="20"/>
          <w:szCs w:val="20"/>
          <w:color w:val="auto"/>
        </w:rPr>
      </w:pPr>
    </w:p>
    <w:p>
      <w:pPr>
        <w:ind w:left="660" w:right="280" w:hanging="328"/>
        <w:spacing w:after="0" w:line="269"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governance information, including our certificate of incorporation, bylaws, governance guidelines, committee charters, business conduct and ethics policy, and other governance-related policies;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9" w:name="page20"/>
    <w:bookmarkEnd w:id="19"/>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news and market data that we may post from time to time that investors might find useful or interesting; and</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Opportunity to sign up for email notifications.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announcing material financial information through our investor relations website, press releases, SEC filings, and public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conference calls and webcasts, we also intend to use other online and social media channels, including our Resource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https://www.lendingclub.com/resource-center</w:t>
      </w:r>
      <w:r>
        <w:rPr>
          <w:rFonts w:ascii="Times New Roman" w:cs="Times New Roman" w:eastAsia="Times New Roman" w:hAnsi="Times New Roman"/>
          <w:sz w:val="20"/>
          <w:szCs w:val="20"/>
          <w:color w:val="auto"/>
        </w:rPr>
        <w:t>), X (formerly Twitter) handles (@LendingClub and @LendingClubIR) and Facebook page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(https://www.facebook.com/LendingClubTeam) as a means of disclosing material non-public information and to comply with our disclosure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under Regulation FD.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contents of the websites referred to above are not incorporated into this filing or in any other report or document on file with the SEC.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our references to the URLs for these websites are intended to be inactive textual references only.</w:t>
      </w:r>
    </w:p>
    <w:p>
      <w:pPr>
        <w:spacing w:after="0" w:line="22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 xml:space="preserve">The SEC maintains a website that contains reports, proxy and information statements, and other information regarding issuers that file electronically with the SEC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auto"/>
        </w:rPr>
        <w:t>You should carefully consider the risks and uncertainties described below, together with all of the other information in this Annual Report, including the section titled “Part II – Item 7. Management’s Discussion and Analysis of Financial Condition and Results of Operations” and the consolidated financial statements and related notes. While we believe the risks and uncertainties described below include all material risks currently known by us, it is possible that these may not be the only ones we face. If any of the risks actually occur, our business, financial condition, operating results and prospects could be materially and adversely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Our business is subject to a number of risks that may adversely affect our business, financial condition and results of operations. These risks are discussed more fully below and include, but are not limited 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Regulation, Supervision and Compliance</w:t>
      </w:r>
    </w:p>
    <w:p>
      <w:pPr>
        <w:spacing w:after="0" w:line="26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within the bank regulatory framework and to the satisfaction of the banking regulators;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applicable laws and regulations (including applicable foreign laws);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changes to the legal, regulatory and/or political environment;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of our allowance for loan losses;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within capital and liquidity regulations and requirements;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and effectiveness of our risk management framework.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Operating Our Business</w:t>
      </w:r>
    </w:p>
    <w:p>
      <w:pPr>
        <w:spacing w:after="0" w:line="247"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loans on our balance sheet and associated credit, default and liquidity risks;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loans through our marketplace bank platform;</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increasing loan originations;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our deposit base;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commercialize products and services;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adequate liquidity;</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litigation and government and regulatory investigations, inquiries and requests;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our technology systems or failures in our technology initiatives;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protecting and promoting our brand;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and the impact of, fraudulent activity;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forecasting demand for loans;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M&amp;A and related integration activity;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 a breadth and volume of loan purchase and investment opportunities for marketplace investors;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prior use of the issuing bank partnership model;</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breaches of certain representations and warranties made to others;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indebtedness.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Macroeconomic Conditions or Other External Factors</w:t>
      </w:r>
    </w:p>
    <w:p>
      <w:pPr>
        <w:spacing w:after="0" w:line="24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current economic environment, including related uncertainties;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interest rates;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overall social and economic conditions;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political environment and governmental fiscal/monetary policies;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and media coverage;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geopolitical events, natural disasters, infrastructure failures and other business interruptions.</w:t>
      </w:r>
    </w:p>
    <w:p>
      <w:pPr>
        <w:sectPr>
          <w:pgSz w:w="11900" w:h="16838" w:orient="portrait"/>
          <w:cols w:equalWidth="0" w:num="1">
            <w:col w:w="11160"/>
          </w:cols>
          <w:pgMar w:left="320" w:top="11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type w:val="continuous"/>
        </w:sectPr>
      </w:pPr>
    </w:p>
    <w:bookmarkStart w:id="21" w:name="page22"/>
    <w:bookmarkEnd w:id="21"/>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Credit and Collections</w:t>
      </w:r>
    </w:p>
    <w:p>
      <w:pPr>
        <w:spacing w:after="0" w:line="260"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and effectiveness of our credit decisioning models;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collection efforts;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credit and other information received from borrowers or third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Industry</w:t>
      </w:r>
    </w:p>
    <w:p>
      <w:pPr>
        <w:spacing w:after="0" w:line="26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and</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soundness of other financial institutions.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Personnel and Third Parties</w:t>
      </w:r>
    </w:p>
    <w:p>
      <w:pPr>
        <w:spacing w:after="0" w:line="26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and retaining employees;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misconduct or errors;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and relationship with, third parties; and</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or circumvention of our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Data, Intellectual Property and Privacy</w:t>
      </w:r>
    </w:p>
    <w:p>
      <w:pPr>
        <w:spacing w:after="0" w:line="26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incidents, failures and bugs in our systems;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cyber-attacks suffered by third parties;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collection, storage and use of personal data;</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our intellectual property rights;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and use of artificial intelligence;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open-source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Tax and Accounting</w:t>
      </w:r>
    </w:p>
    <w:p>
      <w:pPr>
        <w:spacing w:after="0" w:line="260"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and our ability to use our deferred tax asset;</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 gain (loss) position;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and incorrect estimates and assumptions.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Ownership of Our Common Stock</w:t>
      </w:r>
    </w:p>
    <w:p>
      <w:pPr>
        <w:spacing w:after="0" w:line="247"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our stock price and fluctuations in quarterly results;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content of research and reports by analysts;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equity dilution;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anti-takeover provisions and restrictions in accumulating a position in the Company;</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and impact of our share repurchase and acquisition program and related stock price volatility;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intention to not pay dividends in the foreseeable 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 SUPERVISION AND COMPLIANCE</w:t>
      </w:r>
    </w:p>
    <w:p>
      <w:pPr>
        <w:spacing w:after="0" w:line="243"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We operate in a highly regulated environment that affects virtually all aspects of our operations, and the need to comply with applicable laws, regulations and supervisory expectations can materially impact our business, financial condition and results of operations.</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are subject to extensive regulation, supervision and legal requirements that affect virtually all aspects of our operations. The regulatory framework governing banking organizations is generally intended to protect customers, depositors, the Deposit Insurance Fund and the overall financial stability of the United States, not our stockholders or creditors. See “</w:t>
      </w:r>
      <w:r>
        <w:rPr>
          <w:rFonts w:ascii="Times New Roman" w:cs="Times New Roman" w:eastAsia="Times New Roman" w:hAnsi="Times New Roman"/>
          <w:sz w:val="20"/>
          <w:szCs w:val="20"/>
          <w:i w:val="1"/>
          <w:iCs w:val="1"/>
          <w:color w:val="auto"/>
        </w:rPr>
        <w:t>Item 1. Business – Regulation and Supervision</w:t>
      </w:r>
      <w:r>
        <w:rPr>
          <w:rFonts w:ascii="Times New Roman" w:cs="Times New Roman" w:eastAsia="Times New Roman" w:hAnsi="Times New Roman"/>
          <w:sz w:val="20"/>
          <w:szCs w:val="20"/>
          <w:color w:val="auto"/>
        </w:rPr>
        <w:t>” for information on the regulation and supervision framework which governs our Company and its activities.</w:t>
      </w:r>
    </w:p>
    <w:p>
      <w:pPr>
        <w:sectPr>
          <w:pgSz w:w="11900" w:h="16838" w:orient="portrait"/>
          <w:cols w:equalWidth="0" w:num="1">
            <w:col w:w="11040"/>
          </w:cols>
          <w:pgMar w:left="320" w:top="114" w:right="5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4" w:right="539" w:bottom="1440" w:gutter="0" w:footer="0" w:header="0"/>
          <w:type w:val="continuous"/>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We are supervised and regularly examined and inspected by our regulators, including the FRB, OCC and CFPB. Our regulators have extensive authority and discretion in their interpretation, implementation, supervision and enforcement of the regulatory regime, including on matters related to:</w:t>
      </w:r>
    </w:p>
    <w:p>
      <w:pPr>
        <w:spacing w:after="0" w:line="73"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capital distributions by LC Bank or the Company;</w:t>
      </w:r>
    </w:p>
    <w:p>
      <w:pPr>
        <w:spacing w:after="0" w:line="21" w:lineRule="exact"/>
        <w:rPr>
          <w:rFonts w:ascii="Times New Roman" w:cs="Times New Roman" w:eastAsia="Times New Roman" w:hAnsi="Times New Roman"/>
          <w:sz w:val="20"/>
          <w:szCs w:val="20"/>
          <w:color w:val="auto"/>
        </w:rPr>
      </w:pPr>
    </w:p>
    <w:p>
      <w:pPr>
        <w:ind w:left="660" w:right="20" w:hanging="328"/>
        <w:spacing w:after="0" w:line="25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and liquidity requirements applicable to us, including the imposition of requirements more stringent than those required under generally applicable laws;</w:t>
      </w: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types and terms of products we offer, activities we may conduct or investments we may make;</w:t>
      </w:r>
    </w:p>
    <w:p>
      <w:pPr>
        <w:spacing w:after="0" w:line="6" w:lineRule="exact"/>
        <w:rPr>
          <w:rFonts w:ascii="Times New Roman" w:cs="Times New Roman" w:eastAsia="Times New Roman" w:hAnsi="Times New Roman"/>
          <w:sz w:val="20"/>
          <w:szCs w:val="20"/>
          <w:color w:val="auto"/>
        </w:rPr>
      </w:pPr>
    </w:p>
    <w:p>
      <w:pPr>
        <w:ind w:left="660" w:right="400" w:hanging="328"/>
        <w:spacing w:after="0" w:line="246"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composition, risk characteristics, potential adverse classification, allowance and risk reserves in connection with our loans or other assets;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deposit-gathering and other funding sources;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of our board and management oversight;</w:t>
      </w:r>
    </w:p>
    <w:p>
      <w:pPr>
        <w:spacing w:after="0" w:line="13" w:lineRule="exact"/>
        <w:rPr>
          <w:rFonts w:ascii="Times New Roman" w:cs="Times New Roman" w:eastAsia="Times New Roman" w:hAnsi="Times New Roman"/>
          <w:sz w:val="20"/>
          <w:szCs w:val="20"/>
          <w:color w:val="auto"/>
        </w:rPr>
      </w:pPr>
    </w:p>
    <w:p>
      <w:pPr>
        <w:ind w:left="660" w:right="460" w:hanging="328"/>
        <w:spacing w:after="0" w:line="246"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risk management and compliance programs, including with respect to consumer protection, information technology, cybersecurity, third-party risk management, anti-money laundering and sanctions;</w:t>
      </w:r>
    </w:p>
    <w:p>
      <w:pPr>
        <w:spacing w:after="0" w:line="1" w:lineRule="exact"/>
        <w:rPr>
          <w:rFonts w:ascii="Times New Roman" w:cs="Times New Roman" w:eastAsia="Times New Roman" w:hAnsi="Times New Roman"/>
          <w:sz w:val="20"/>
          <w:szCs w:val="20"/>
          <w:color w:val="auto"/>
        </w:rPr>
      </w:pPr>
    </w:p>
    <w:p>
      <w:pPr>
        <w:ind w:left="660" w:right="700" w:hanging="328"/>
        <w:spacing w:after="0" w:line="246"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LC Bank’s commitment to helping meet the credit needs of low- and moderate-income neighborhoods under the Community Reinvestment Act of 1977;</w:t>
      </w:r>
    </w:p>
    <w:p>
      <w:pPr>
        <w:spacing w:after="0" w:line="1" w:lineRule="exact"/>
        <w:rPr>
          <w:rFonts w:ascii="Times New Roman" w:cs="Times New Roman" w:eastAsia="Times New Roman" w:hAnsi="Times New Roman"/>
          <w:sz w:val="20"/>
          <w:szCs w:val="20"/>
          <w:color w:val="auto"/>
        </w:rPr>
      </w:pPr>
    </w:p>
    <w:p>
      <w:pPr>
        <w:ind w:left="660" w:right="340" w:hanging="328"/>
        <w:spacing w:after="0" w:line="25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their willingness to approve applications, such as the establishment, relocation or closure of new branches, the commencement of new activities, or the conduct of mergers and acquisitions; and</w:t>
      </w: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growth and other expansionary or strategic initiatives.</w:t>
      </w:r>
    </w:p>
    <w:p>
      <w:pPr>
        <w:spacing w:after="0" w:line="234"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We continue to devote substantial time and resources to compliance and meeting our regulators’ supervisory expectations, which will adversely affect our profitability and may adversely affect our ability to pursue advantageous business opportunities.</w:t>
      </w:r>
    </w:p>
    <w:p>
      <w:pPr>
        <w:spacing w:after="0" w:line="196"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spacing w:after="0" w:line="20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If we do not comply with applicable laws, regulations or commitments, if we are deemed to have engaged in unsafe or unsound conduct, or if we do not satisfy our regulators’ supervisory expectations, then we may be subject to increased scrutiny, supervisory criticism, governmental or private litigation and/or a wide range of potential monetary penalties or consequences, enforcement actions, criminal liability and/or reputational harm. Such actions could be public or of a confidential nature, and arise even if we are acting in good faith or operating under a reasonable interpretation of the law and could include, for example, monetary penalties, payment of damages or other monetary relief, restitution or disgorgement of profits, directives to take remedial action or to cease or modify practices, restrictions on growth or expansionary proposals, denial or refusal to accept applications, removal of officers or directors, prohibition on dividends or capital distributions, increases in capital or liquidity requirements and/or termination of LC Bank’s deposit insurance. Additionally, compliance with applicable laws, regulations and commitments requires significant investment of management attention and resources. Any failure to comply with applicable laws, regulations or commitments could have an adverse effect on our business, financial condition and results of operations.</w:t>
      </w:r>
    </w:p>
    <w:p>
      <w:pPr>
        <w:spacing w:after="0" w:line="203"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Changes in the legal, regulatory or political environment could adversely affect our business, financial condition, and results of operations.</w:t>
      </w:r>
    </w:p>
    <w:p>
      <w:pPr>
        <w:spacing w:after="0" w:line="196"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20"/>
          <w:szCs w:val="20"/>
          <w:color w:val="auto"/>
        </w:rPr>
        <w:t>Laws, regulations and supervisory expectations, and the manner in which they are interpreted and enforced, are constantly changing. Governments could pass legislation, regulations or adopt policies based on changes in leadership, shifting priorities, the stability of the banking system or in response to current financial conditions.</w:t>
      </w:r>
    </w:p>
    <w:p>
      <w:pPr>
        <w:spacing w:after="0" w:line="208"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Further, the change in U.S. presidential administration and the composition of the U.S. Congress is resulting in significant changes in governing ideology and style, legislative, regulatory or policy priorities and/or the existence,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priorities, scope, practices and/or staffing levels of regulatory agencies. For example, in February 2025, the current presidential administration directed the CFPB to, among other things, suspend rule implementations and cease supervision activities; and while the CFPB is still operating, it has rescinded rules set under the prior U.S. presidential administration. Additionally, changes in the leadership of federal banking agencies may impact supervision, examination and enforcement priorities and rulemaking of such agencies and may result in changes to interpretations of existing rules and guidance. Further, in January 2026, the current presidential administration proposed a 10% interest rate cap for credit cards which, if implemented, and depending on how it is implemented, could have an adverse effect on our business and results of operations, including reducing borrower demand for our loans given a significant portion of loan customers use our personal loan product to refinance existing higher interest rate credit card debt into a lower interest rate personal loan with us. Additionally, if the proposal for an interest rate cap (and any related legislation or executive order) extends to other forms of consumer credit such as personal loans, and, depending on how that would be implemented, our business and financial results could be materially and adversely impacted as we would be unable to offer our current personal loan product to many customers that we currently are able to serve. We cannot predict what other changes, if any, will be made to the legal and regulatory framework, whether the changes will be retained or the effect that such changes may have on our future business and earnings prospects.</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Changes to the legal, regulatory or political environment may require material modifications to our products, services and operations, require significant investments of management attention and resources, or expose us to potential liability for past practices. Changes to the legal and regulatory framework, such as through amendments to laws and regulations, legal challenges to new and existing agency regulations and interpretations, imposition of supervisory action, or shifts in governmental or regulatory policies, practices or priorities may have a material adverse impact on our operations, including the cost to conduct business, our results of operations and what products and services we can offer.</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Further, as a result of changes in priorities and/or leadership at federal, state and/or local levels, we may become subject to different and potentially conflicting requirements and expectations in the jurisdictions in which we operate or that may attempt to exercise jurisdiction over us, which may make it more challenging and/or resource intensive to comply with applicable laws and could have an adverse effect on our business and results of operations. For example, in March 2025, the SEC voted to abandon its defense of its 2024 climate-related disclosure rules, effectively pausing, and likely reversing, the mandate for issuer companies to report greenhouse gas emissions and climate risks. However, California and other states are continuing forward with, or contemplating, their own climate-related disclosure rules; though the California rules are being legally challenged and the outcome of such challenges is currently unknown.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allowance for loan losses may not be adequate to cover actual losses.</w:t>
      </w: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Through its adoption of the CECL methodology, the Financial Accounting Standards Board (FASB) implemented an accounting model to measure credit losses for financial assets measured at amortized cost. Effective January 1, 2026, we elected the fair value option accounting methodology, in lieu of CECL, to account for newly originated HFI loans and therefore all newly originated loans are being accounted for under the fair value option methodology. However, as of the date of this Annual Report, the majority of our loan portfolio reflects HFI loans originated prior to January 1, 2026, which are being, and we expect will continue to be, accounted for under the CECL methodology. Under CECL, we maintain an allowance for loan losses to provide for loan defaults and non-performance that reflects management’s best estimate of expected lifetime losses inherent in our finance receivables and loan portfolio.</w:t>
      </w:r>
    </w:p>
    <w:p>
      <w:pPr>
        <w:spacing w:after="0" w:line="20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The process for determining the amount of the allowance requires subjective and complex judgments about the future, including forecasts of economic or market conditions that might impair the ability of borrowers to repay their loans. Changes in economic conditions affecting borrowers, revisions to accounting rules and related guidance, new qualitative or quantitative information about existing loans, identification of additional problem loans, changes in the size or composition of our finance receivables and loan portfolio, changes to our loss estimation techniques including consideration of forecasted economic assumptions, and other factors, both within and outside of our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control, may require an increase in the allowance for loan losses. We may also underestimate expected lifetime losses and therefore take additional allowance to account for such losses and/or fail to hold a sufficient allowance for such losses.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 decline in the national economy or the local economies of any areas in which the loans are concentrated could result in an increase in loan delinquencies, foreclosures or repossessions resulting in increased charge-off amounts and the need for additional loan loss allowances in future periods. In addition, our regulators may require us to make a provision for loan losses or otherwise recognize further loan charge-offs following their periodic review of our loan portfolio, our underwriting procedures, and our loan loss allowance.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stringent capital and liquidity regulations and requirements.</w:t>
      </w:r>
    </w:p>
    <w:p>
      <w:pPr>
        <w:spacing w:after="0" w:line="24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LendingClub Corporation is the parent company of and a separate and distinct legal entity from LC Bank. Legal entity liquidity is an important consideration as there are legal, regulatory and other limitations on our ability to utilize liquidity from one legal entity to satisfy the liquidity requirements of another, which could result in adverse liquidity events at LendingClub Corporation and/or LC Bank. In particular, LC Bank is subject to laws that restrict dividend payments or authorize regulatory bodies to block or reduce the flow of funds from a subsidiary to their parent company or other affiliates. Applicable laws and regulations, including capital and liquidity requirements, could restrict our ability to transfer funds between LC Bank and LendingClub Corporation, which could adversely affect our cash flow and financial condition. Additionally, applicable laws and regulations may restrict what LendingClub Corporation is able to do with the liquidity it does possess, which may adversely affect our business and results of operations.</w:t>
      </w:r>
    </w:p>
    <w:p>
      <w:pPr>
        <w:spacing w:after="0" w:line="2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Bank holding companies, including the Company, are subject to capital and liquidity standards. From time to time, regulators may implement changes to these capital adequacy and liquidity requirements. If the Company fails to meet these minimum capital adequacy and liquidity guidelines and other regulatory requirements, its business activities, including lending, and its ability to expand could be limited. It could also result in the Company being required to take steps to increase its regulatory capital that may not otherwise be in the best interest of the Company or may be dilutive or adverse to stockholders, including issuing equity or borrowing funds to increase capital, limiting the Company’s ability to pay dividends to stockholders or limiting the Company’s ability to invest in assets even if deemed more desirable from a financial and business perspective.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if our risk management framework does not effectively identify, assess and mitigate risk.</w:t>
      </w:r>
    </w:p>
    <w:p>
      <w:pPr>
        <w:spacing w:after="0" w:line="2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Our risk management framework seeks to appropriately balance risk and return and mitigate our risks, including risks attributable to third parties. We have established policies intended to regularly identify and assess our risk profile, including credit risk, pricing risk, liquidity risk, strategic risk and operational risk, and then implement appropriate processes and controls to mitigate risk.</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If our risk management framework does not effectively identify, assess and/or mitigate our risk profile, we could suffer unexpected losses or be adversely affected, which could have a material adverse effect on our business. For example, assessment of our risk profile depends, in part, upon the use of forecasting models. If these models are ineffective at predicting future losses or are otherwise inadequate, we may incur unexpected losses or otherwise be adversely affected. In addition, the information we use may be inaccurate or incomplete, both of which may be difficult to detect and avoid. Additionally, there may be risks that exist, or that develop in the future, that we have not appropriately anticipated, identified or mitigated.</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Finally, our risk management framework may be deemed insufficient or inadequate by our regulators, which has in the past required, and may in the future require, that we invest additional resources into remediating any deficiencies and which has adversely impacted, and may in the future impact, our ability to operate our business until the revised framework is deemed sufficient and adequate by our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Participation by non-U.S. residents on our marketplace bank platform may result in non-compliance with foreign laws.</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From time to time, non-U.S. residents invest in loans directly through our marketplace bank platform. We are not experts with respect to all applicable laws in the various foreign jurisdictions from which an investor may be located, and we cannot be sure that we are complying with all applicable foreign laws. Failure to comply with such laws could result in fines and penalties payable by us, which could reduce our profitability or cause us to modify or delay planned expansions and expenditures, including investments in our growth. In addition, any such fines and penalties could create negative publicity, result in additional regulatory oversight that could limit our operations and ability to succeed, or otherwise hinder our plans to expand our business internationally.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OPERATING OUR BUSINESS</w:t>
      </w:r>
    </w:p>
    <w:p>
      <w:pPr>
        <w:spacing w:after="0" w:line="256" w:lineRule="exact"/>
        <w:rPr>
          <w:sz w:val="20"/>
          <w:szCs w:val="20"/>
          <w:color w:val="auto"/>
        </w:rPr>
      </w:pPr>
    </w:p>
    <w:p>
      <w:pPr>
        <w:ind w:right="10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Holding loans on our balance sheet exposes us to credit, default and liquidity risks, which may adversely affect our financial performance.</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hold loans purchased and/or issued by the Company or LC Bank. While these loans are on our balance sheet we earn interest on the loans, but we have exposure to the credit risk of the borrowers. In the event these borrowers experience a decline or volatility in their credit profile and/or an increase or volatility in their delinquency rates, the value of these held loans may decline. For example, inflation and/or natural disasters may cause borrowers to allocate more of their income to necessities such as housing and food, thereby potentially increasing their risk of default by reducing their ability to make loan payments.</w:t>
      </w:r>
    </w:p>
    <w:p>
      <w:pPr>
        <w:spacing w:after="0" w:line="21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From time to time, we also sponsor the sale of loans through Structured Program transactions, and we may be required to and/or otherwise decide to retain a portion of the interests in these securitization transactions (Securitization Interests).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Volatility or a decline in the value of the loans and/or Securitization Interests held on our balance sheet may adversely impact the liquidity of these loans/interests, which could produce losses if we are unable to realize their fair value or manage declines in their value, each of which may materially and adversely affect our financial performance. Further, increases in delinquency rates may require that we take additional allowances for losses, which may adversely affect our financial performance and our ability to allocate sufficient financial resources for other purposes, such as advancing our products and services, which could impact our results of operations.</w:t>
      </w:r>
    </w:p>
    <w:p>
      <w:pPr>
        <w:spacing w:after="0" w:line="21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Notably, under the fair value option accounting methodology, changes in fair value of loans are recorded in current period earnings. Therefore, in-period volatility or a decline in the value of the loans held on our balance sheet could require that we record a potentially significant fair value expense with respect to the loans held on our balance sheet under the fair value option. Further, the process of determining the fair value of our loans is complex and incorporates several inputs that reflect the Company’s best estimate of fair value which, due to the inherent judgment required for certain inputs, may result in greater volatility of the fair value of loans held on our balance sheet. Accordingly, the risks articulated above (including the risk of a significant in-period fair value expense) are heightened by our decision, effective January 1, 2026, to elect the fair value option to account for newly originated HFI loans, which aligns the accounting of all newly originated loans (i.e., both HFI and HFS loans) under the fair value option methodology.</w:t>
      </w:r>
    </w:p>
    <w:p>
      <w:pPr>
        <w:spacing w:after="0" w:line="198"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color w:val="auto"/>
        </w:rPr>
        <w:t>In addition to the discussion in this section, see the risk factor “</w:t>
      </w:r>
      <w:r>
        <w:rPr>
          <w:rFonts w:ascii="Times New Roman" w:cs="Times New Roman" w:eastAsia="Times New Roman" w:hAnsi="Times New Roman"/>
          <w:sz w:val="20"/>
          <w:szCs w:val="20"/>
          <w:i w:val="1"/>
          <w:iCs w:val="1"/>
          <w:color w:val="auto"/>
        </w:rPr>
        <w:t>The current economic environment, including related uncertainties, could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negatively affect our business and operating results.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investors on our marketplace bank platform pause or cease their participation or exert influence over us, our business, financial condition and results of operations may be harmed.</w:t>
      </w:r>
    </w:p>
    <w:p>
      <w:pPr>
        <w:spacing w:after="0" w:line="196"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Our success depends in significant part on marketplace investors purchasing loans through our marketplace bank platform. Investors may have financial conditions or limitations that adversely impact their ability to continue to</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participate on our platform. Further, investors may choose to deploy their capital elsewhere for any reason, including if financial returns on loans we offer prove to be unsatisfactory. For example, inflation and/or natural disasters may cause borrowers to allocate their income to necessities, such as housing and food, thereby potentially increasing their risk of default by reducing their ability to make loan payments. This may increase default rates, which could adversely affect marketplace investor returns. Additionally, in an elevated interest rate environment the return expectations of our marketplace investors will likely be elevated, and we may be unable to meet those expectations, which could prompt certain marketplace investors to reduce or cease their loan purchases or investments. The occurrence of one or more of these events with a significant number of investors has in the past and could in the future, alone or in combination, have a material and adverse effect on our business, financial condition and results of operation. For example, following the historic increases in interest rates by the FRB in 2022 and 2023, a number of our largest marketplace investors ceased or significantly reduced their purchases of our products, which resulted in a material reduction in our marketplace origination volume and revenue.</w:t>
      </w:r>
    </w:p>
    <w:p>
      <w:pPr>
        <w:spacing w:after="0" w:line="22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auto"/>
        </w:rPr>
        <w:t>From time to time, we may provide incentives to investors to purchase loans from us or we may sell loans at a price that is less than par, which typically adversely impacts the economics of our business. Even in the event that an incentive or difference to par is partially or wholly offset by other factors, such as interest earned on the loan prior to its sale, selling loans with incentives or at prices less than par may:</w:t>
      </w:r>
    </w:p>
    <w:p>
      <w:pPr>
        <w:spacing w:after="0" w:line="2" w:lineRule="exact"/>
        <w:rPr>
          <w:sz w:val="20"/>
          <w:szCs w:val="20"/>
          <w:color w:val="auto"/>
        </w:rPr>
      </w:pPr>
    </w:p>
    <w:p>
      <w:pPr>
        <w:ind w:right="320" w:firstLine="8"/>
        <w:spacing w:after="0" w:line="253" w:lineRule="auto"/>
        <w:tabs>
          <w:tab w:leader="none" w:pos="2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discourage investors from purchasing loans on our platform without incentives or at par value, (ii) cause us to realize less revenue than expected with respect to such loans or (iii) prompt dissatisfaction and complaints from investors unable to purchase incentivized or discounted loans.</w:t>
      </w:r>
    </w:p>
    <w:p>
      <w:pPr>
        <w:spacing w:after="0" w:line="216"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Additionally, marketplace investors may exert significant influence over us, our management and our operations. For example, if these investors pause or discontinue their investment activity, we may need to provide incentives or discounts and/or enter into alternative structures or terms to attract investor capital to the platform, such as our Structured Certificates. Any new arrangements or programs may:</w:t>
      </w:r>
    </w:p>
    <w:p>
      <w:pPr>
        <w:ind w:firstLine="8"/>
        <w:spacing w:after="0" w:line="251" w:lineRule="auto"/>
        <w:tabs>
          <w:tab w:leader="none" w:pos="2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complexity of our business, (ii) require allocation of personnel and other resources to create and operate such arrangements or programs, and/or (iii) have new and/or different structures and terms, including alternative fee arrangements, purchase price rebates or other incentives. There is also no assurance that we will be able to enter into any of these arrangements or programs with interested parties, or if we do, what the final terms will be. Failure to attract marketplace investor capital on reasonable terms may result in a reduction in origination volume.</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may also experience significant concentration on our marketplace bank platform, where a limited number of marketplace investors purchase a large volume of loans from our platform. Such concentration exposes us disproportionately to any of those investors choosing to cease participation on our platform or choosing to deploy their capital elsewhere, to the economic performance of those investors or to any events, circumstances or risks affecting such investors.</w:t>
      </w:r>
    </w:p>
    <w:p>
      <w:pPr>
        <w:spacing w:after="0" w:line="21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Further, the terms and conditions of loan purchases or investment by marketplace investors are an input to the fair value of loans and/or Securitization Interests held on our balance sheet under the fair value option accounting methodology. Accordingly, for example, a reduction in the prices paid by or increase in the concessions offered to marketplace investors could have a material adverse effect on the value of such loans and/or Securitization Interests which could have a material adverse impact on our financial performance.</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Any material reduction in loan purchases or investments by marketplace investors, or the economics of those purchases or investments for the Company, may have a material adverse impact on our business, financial condition and results of operations. In addition to the discussion in this section, see the risk factor “</w:t>
      </w:r>
      <w:r>
        <w:rPr>
          <w:rFonts w:ascii="Times New Roman" w:cs="Times New Roman" w:eastAsia="Times New Roman" w:hAnsi="Times New Roman"/>
          <w:sz w:val="20"/>
          <w:szCs w:val="20"/>
          <w:i w:val="1"/>
          <w:iCs w:val="1"/>
          <w:color w:val="auto"/>
        </w:rPr>
        <w:t>The current economic environment, including related uncertainties, could negatively affect our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operating results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do not maintain or continue to increase loan originations, or expand our marketplace bank to new markets, we may not succeed in maintaining and/or growing our business, and as a result our business and results of operations could be adversely affected.</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vast majority of our revenue currently comes from origination fees, servicing fees on loans sold to marketplace investors and net interest income earned from retaining loans on our balance sheet. Growing these revenue streams may require that we increase loan originations over time. Doing so requires that we attract a large number of new borrowers who meet our platform’s lending standards and those of new and existing marketplace investors, including investors in any of our Structured Program transactions. Our ability to attract qualified borrowers depends in large part on the success of our marketing efforts, the visibility, placement and customer reviews on third-party platforms and the quality and competitive advantage of our products and services. For example, if any of our marketing channels become less effective, or the cost of these channels were to significantly increase, we may not be able to attract new and retain existing customers in a cost-effective manner or convert potential customers into active customers in our marketplace bank. Additionally, changes in the way third-party platforms operate, including changes in our participation on such platforms, could make the maintenance and promotion of our products and services, and thereby maintaining and growing loan originations, more expensive or more difficult.</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Further, every loan we originate is either held on our balance sheet or sold to marketplace investors. Our ability to hold or sell loans is dependent on a number of factors, including the economic and interest rate environment, the performance of our loans and the conditions of capital markets. If any of these factors is volatile or adverse, then we may be unable to hold or sell as many loans as we could potentially originate and therefore would need to reduce our origination volume.</w:t>
      </w:r>
    </w:p>
    <w:p>
      <w:pPr>
        <w:spacing w:after="0" w:line="21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Additionally, other than a modest number of marketplace investors that are located internationally, our business exists solely in the U.S. and therefore fluctuations in and risks to U.S. consumer credit, U.S. macroeconomic conditions, and the U.S. legal and regulatory landscape may have a greater adverse impact on our business and financial results than a competitor company with a global footprint.</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If loan originations through our platform stagnate or decrease, for any reason, our business and financial results may be adversely affected. For example, following the historic increases in interest rates by the FRB in 2022 and 2023, a number of our largest marketplace investors ceased or significantly reduced their purchases of our loans, which resulted in a material reduction in our marketplace origination volume and revenue.</w:t>
      </w:r>
    </w:p>
    <w:p>
      <w:pPr>
        <w:spacing w:after="0" w:line="209"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color w:val="auto"/>
        </w:rPr>
        <w:t>In addition to the discussion in this section, see the risk factor “</w:t>
      </w:r>
      <w:r>
        <w:rPr>
          <w:rFonts w:ascii="Times New Roman" w:cs="Times New Roman" w:eastAsia="Times New Roman" w:hAnsi="Times New Roman"/>
          <w:sz w:val="20"/>
          <w:szCs w:val="20"/>
          <w:i w:val="1"/>
          <w:iCs w:val="1"/>
          <w:color w:val="auto"/>
        </w:rPr>
        <w:t>The current economic environment, including related uncertainties, could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negatively affect our business and operating results.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deposit base.</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We rely on deposits as a principal source of funding for our lending activities. As of December 31, 2025, we had approximately $9.8 billion in deposits. Our future growth and strategy depend on our ability to maintain deposits to provide a less costly and stable source of funding. The deposit markets are competitive, and therefore it may prove difficult and/or costly to grow our deposit base. For example, as the FRB increased interest rates in 2022 and 2023, we made corresponding increases to the rates we offer depositors, which increased our funding cost and reduced the net interest margin on loans held on our balance sheet.</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Changes we make to the rates offered on our deposit products may affect our finances and liquidity. We have brokered deposits, which may be more price sensitive than other types of deposits and may become less available if alternative investments offer higher returns. Further, a significant portion of our deposits is sourced from depositors referred to the Company through third party platforms, and any change in the way such third-party platforms operate, including our participation or the placement of our products on such third-party platforms, may have a materially adverse impact on our ability to maintain and/or grow our deposit base. In addition, our ability to maintain existing or obtain additional deposits may be impacted by factors, including factors beyond our control, including perceptions about the stability of the banking industry, our reputation or financial strength, or branchless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banking generally, which could reduce the number of consumers choosing to place deposits with us. In particular, sudden and substantial withdrawals could cause the banking regulators to close our institution and seize our assets. For example, in 2023, Silicon Valley Bank, Signature Bank, and First Republic Bank each failed shortly after substantial reductions in their deposit bases over the course of a few days/weeks.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ability to obtain deposit funding and offer competitive interest rates on deposits is also dependent on capital levels of LC Bank and being considered “well-capitalized” by the banking regulators. Our regulators can adjust the requirements to be “well-capitalized” at any time, as well as require us to maintain capital levels higher than a “well-capitalized” bank under the current statutory definitions, and have authority to place limitations on our deposit businesses, including the interest rate we pay on deposits and the amount of brokered deposits we can accept. An inability to develop and maintain a strong deposit base could have a material adverse impact on our business, financial condition and results of operations.</w:t>
      </w:r>
    </w:p>
    <w:p>
      <w:pPr>
        <w:spacing w:after="0" w:line="21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color w:val="auto"/>
        </w:rPr>
        <w:t>In addition to the discussion in this section, see the risk factor “</w:t>
      </w:r>
      <w:r>
        <w:rPr>
          <w:rFonts w:ascii="Times New Roman" w:cs="Times New Roman" w:eastAsia="Times New Roman" w:hAnsi="Times New Roman"/>
          <w:sz w:val="20"/>
          <w:szCs w:val="20"/>
          <w:i w:val="1"/>
          <w:iCs w:val="1"/>
          <w:color w:val="auto"/>
        </w:rPr>
        <w:t>The current economic environment, including related uncertainties, could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negatively affect our business and operating results.</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commercialize new products and services and enhancements to existing products and services, our business may suffer.</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financial services and banking industry is evolving and changing with disruptive technologies and the introduction of new products and services. We derive a significant portion of our revenue from transaction-based fees we collect in connection with the origination of unsecured personal loans and net interest income earned from retaining loans on our balance sheet. To enhance customer engagement and diversify our revenue streams, we are undertaking a strategy to broaden the scope of our products and services we offer. Failure to broaden the scope of our products and services leaves us dependent on a limited number of revenue streams and vulnerable to competitors offering a suite of products and services. Accordingly, a key part of our success depends on our ability to develop and commercialize new products and services and enhancements to existing products and services. For example, we recently announced an expansion into home improvement financing and failure to meet objectives with respect to this initiative may adversely impact our medium- and/or long-term business and financial results.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incur expenses and expend resources to develop and commercialize new products and services and enhancements to existing products and services. However, we may not assign the appropriate level of resources, priority or expertise to the development and commercialization of these new products, services or enhancements. We also could utilize and invest in technologies, products and services that ultimately do not achieve widespread adoption and, therefore, are not as attractive or useful to our customers as we anticipate. Moreover, we may not realize the benefit of new technologies, products, services or enhancements for many years, and competitors may introduce more compelling products, services or enhancements in the meantime. Competitors also may develop or adopt technologies or introduce innovations that make our marketplace bank platform less attractive to our borrowers and/or investors. Further, compliance with applicable laws and regulations, our regulators’ supervisory expectations and the development of new laws and regulations may impact our ability to develop and commercialize new products and services. If we are unable to develop and commercialize timely and attractive products and services, our growth may be limited and our business may be materially and adversely affected.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inability to maintain adequate liquidity could jeopardize our business and financial condition.</w:t>
      </w:r>
    </w:p>
    <w:p>
      <w:pPr>
        <w:spacing w:after="0" w:line="24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Liquidity is essential to our business. Although we believe that we currently have an adequate amount of liquidity to support our business, there are a number of factors that could reduce and/or deplete our existing liquidity position, including results of operations that are reduced relative to our projections, costs related to existing or future litigation or regulatory matters, the pursuit of strategic business opportunities (whether through acquisition or organic) and unanticipated liabilities. Additionally, as noted above, we are subject to stringent capital and liquidity regulations and requirements and need to manage our liquidity position at both LendingClub Corporation and LC Bank within the parameters and terms set forth by applicable regulations and regulators. LC Bank is subject to various legal, regulatory and other restrictions on its ability to make distributions and payments to the Company.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Any inability to maintain an adequate liquidity position could adversely affect our operations, our compliance with applicable regulations and the performance of our business.</w:t>
      </w:r>
    </w:p>
    <w:p>
      <w:pPr>
        <w:spacing w:after="0" w:line="173"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auto"/>
        </w:rPr>
        <w:t>Further, our ability to raise additional capital, should that be deemed beneficial and/or necessary, depends on conditions in the capital markets, economic conditions and a number of other factors, including investor perceptions regarding the financial services and banking industry, market conditions, governmental activities, and our financial condition and performance. Accordingly, we may be unable to raise additional capital if needed or on acceptable terms, which may adversely affect our liquidity,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regularly subject to litigation, and government and regulatory investigations, inquiries and requests.</w:t>
      </w:r>
    </w:p>
    <w:p>
      <w:pPr>
        <w:spacing w:after="0" w:line="2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are regularly subject to claims, individual and class action lawsuits, lawsuits alleging regulatory violations such as the Telephone Consumer Protection Act (TCPA), Fair Credit Reporting Act (FCRA), Unfair and Deceptive Acts and Practices (UDAP) or Unfair, Deceptive or Abusive Acts or Practices (UDAAP) violations, government and regulatory exams, investigations, inquiries or requests, and other proceedings involving consumer protection, privacy, labor and employment, intellectual property, privacy, data protection, cybersecurity, anti-money laundering, securities, tax, commercial disputes, record retention and other matters. The number and/or significance of these claims, lawsuits, exams, investigations, inquiries and requests have increased as our business has expanded in scope and geographic reach, and our products and services have increased in complexity. For example, we are subject to supervision, regulation, examination and enforcement by multiple federal banking regulatory bodies. Specifically, as a bank holding company, the Company is subject to ongoing and comprehensive supervision, regulation, examination and enforcement by the FRB. Further, as a national bank with assets over $10 billion, LC Bank is subject to ongoing and comprehensive supervision, regulation, examination and enforcement by the OCC and the CFPB. Accordingly, we have been and continue to invest in regulatory compliance and to be subject to certain parameters, obligations and/or limitations set forth by the banking regulations and regulators with respect to the operation of our business. We are also subject to significant litigation and regulatory inquiries, as discussed more fully in “</w:t>
      </w:r>
      <w:r>
        <w:rPr>
          <w:rFonts w:ascii="Times New Roman" w:cs="Times New Roman" w:eastAsia="Times New Roman" w:hAnsi="Times New Roman"/>
          <w:sz w:val="20"/>
          <w:szCs w:val="20"/>
          <w:i w:val="1"/>
          <w:iCs w:val="1"/>
          <w:color w:val="auto"/>
        </w:rPr>
        <w:t>Part II – Item 8. Financial Statements and Supplementary Data – Notes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Consolidated Financial Statements – Note 18. Commitments and Contingencies,</w:t>
      </w:r>
      <w:r>
        <w:rPr>
          <w:rFonts w:ascii="Times New Roman" w:cs="Times New Roman" w:eastAsia="Times New Roman" w:hAnsi="Times New Roman"/>
          <w:sz w:val="20"/>
          <w:szCs w:val="20"/>
          <w:color w:val="auto"/>
        </w:rPr>
        <w:t>” below.</w:t>
      </w:r>
    </w:p>
    <w:p>
      <w:pPr>
        <w:spacing w:after="0" w:line="2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of such claims, lawsuits, proceedings, investigations, inquiries and requests could result in substantial fines, penalties or other monetary, injunctive or declaratory relief, which may materially and adversely affect our business. These claims, lawsuits, proceedings, exams, investigations, and requests could also: (i) result in reputational harm, criminal sanctions, consent decrees, and/or orders preventing us from offering certain features, functionalities, products or services, (ii) limit our access to credit, (iii) result in a modification or suspension of our business practices, (iv) require certain parameters, obligations and/or limitations with respect to the operation of our business, (v) require us to develop non-infringing or otherwise altered products or technologies, (vi) prompt ancillary claims, lawsuits, proceedings, investigations, inquiries and requests, (vii) consume financial and other resources which may otherwise be utilized for other purposes, such as advancing our products and services, (viii) cause a breach or cancellation of certain contracts, or (ix) result in a loss of customers, investors and/or ecosystem partners, any of which may adversely affect our business and operations. Furthermore, even following the resolution of any claims, lawsuits, proceedings, exams, investigations, inquiries and requests against us, a regulatory enforcement agency could take action against one or more individuals or entities, which may require us to continue to incur significant expense for indemnification for any such individual or entity until such matters may be resolved. Any of these consequences could materially and adversely affect our business.</w:t>
      </w:r>
    </w:p>
    <w:p>
      <w:pPr>
        <w:spacing w:after="0" w:line="22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Any significant disruption in our technology systems, including events beyond our control, or failure in our technology initiatives could have a material adverse effect on our operations.</w:t>
      </w:r>
    </w:p>
    <w:p>
      <w:pPr>
        <w:spacing w:after="0" w:line="1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We believe the technology platform that powers our marketplace bank enables us to deliver solutions to customers and marketplace investors, and provides a significant time and cost advantage over traditional banks.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satisfactory performance, reliability and availability of our technology and our underlying network infrastructure are critical to our operations, customer service and reputation. Our failure to maintain satisfactory performance, reliability and availability of our technology and underlying network infrastructure may impair our ability to attract new and retain existing customers or marketplace investors, which could have a material adverse effect on our operations.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Any interruptions or delays in our technology systems or service, whether as a result of third-party error, our error, natural disasters, terrorism, other man-made problems, or security breaches, whether accidental or willful, could harm our reputation and relationships with our customers and marketplace investors. Additionally,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These factors could prevent us from processing or posting payments on loans, processing loan purchases or investments, damage our brand and reputation, divert our employees’ attention, reduce our revenue, subject us to liability, and cause customers to abandon our marketplace bank platform, any of which could adversely affect our business, financial condition and results of operations.</w:t>
      </w:r>
    </w:p>
    <w:p>
      <w:pPr>
        <w:spacing w:after="0" w:line="20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We depend on our technology infrastructure to conduct and grow our business and operations and accordingly we invest in system upgrades, new solutions and other technology initiatives, including artificial intelligence. Many of these initiatives take a significant amount of time to develop and implement, are tied to critical systems and require significant human and financial resources. While we take steps to mitigate the risks and uncertainties associated with these initiatives, these initiatives may not be implemented on time (or at all), within budget or without negative financial, operational or customer impact. Further, if and when implemented, these initiatives may not perform as we or our customers, marketplace investors and other stakeholders expect. We also may not succeed in anticipating or keeping pace with future technology needs, technology demands of our customers or the competitive landscape for technology. The failure to implement new and maintain existing technologies could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maintain, protect and promote our brand may harm our business.</w:t>
      </w:r>
    </w:p>
    <w:p>
      <w:pPr>
        <w:spacing w:after="0" w:line="24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Maintaining, protecting and promoting our brand is critical to achieving widespread acceptance of our products and services and expanding our base of customers. Maintaining, protecting and promoting our brand depends on many factors, including our ability to continue to provide useful, reliable, secure and innovative products and services, as well as our ability to maintain trust.</w:t>
      </w:r>
    </w:p>
    <w:p>
      <w:pPr>
        <w:spacing w:after="0" w:line="18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Our brand can be harmed in many ways, including failure by us or our partners to satisfy expectations of service and quality, inadequate protection of sensitive information, failure to maintain or provide adequate or accurate documentation and/or disclosures, compliance failures, failure to comply with contractual obligations, regulatory requests, inquiries or proceedings, litigation and other claims, employee misconduct and misconduct by our partners. We have also been, and may in the future be, the target of incomplete, inaccurate and/or misleading statements about our company, our business, and/or our products and services. Furthermore, our ability to maintain, protect and promote our brand is partially dependent on visibility and customer reviews on third-party platforms. Changes in the way these platforms operate could make the maintenance, protection and promotion of our products and services and our brand more expensive or more difficult. Further, as we pursue a potential rebranding initiative, it is possible that the rebrand may not resonate, and/or create confusion, with our customers and other stakeholders and thereby adversely impact our reputation, brand and/or the willingness of customers to do business with us.</w:t>
      </w:r>
    </w:p>
    <w:p>
      <w:pPr>
        <w:spacing w:after="0" w:line="2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Finally, stakeholder views, priorities and expectations are diverse, rapidly changing and diverging, and we may not be able to meet the range of expectations and demands of all of our stakeholders. For example, stakeholder interest in our environmental, social, governance and other sustainability responsibilities, strategy and related disclosures vary considerably and are evolving. If we do not successfully maintain, protect and promote our brand we may be unable to maintain and/or expand our base of customers and investors, which may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Fraudulent activity associated with our marketplace bank could negatively impact our operating results, brand and reputation and cause the use of our products and services to decrease and our fraud losses to increase.</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are subject to the risk of fraudulent activity associated with our marketplace bank, borrowers, depositors, investors and third parties handling borrower, depositor and investor information. We have taken measures to detect and reduce the risk of fraud, but these measures need to be continually improved and may not be effective against new and continually evolving forms of fraud, including fraud using artificial intelligence (AI), which may make fraud detection more difficult, or in connection with new product offerings. Further, the increasing use of near real-time money movement solutions increases the complexity of preventing, detecting and recovering fraudulent transactions. Under our agreements with marketplace investors, we are obligated to repurchase loans in cases of confirmed identity theft. The level of our fraud charge-offs and our results of operations could be materially and adversely affected if fraudulent activity were to significantly increase. High profile fraudulent activity or significant increases in fraudulent activity could lead to regulatory intervention, negatively impact our operating results, brand and reputation and lead us to take steps to reduce fraud risk, which could increase our costs.</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In addition, in the past, third parties have attempted to defraud individuals, some of whom may be potential customers of ours, by misappropriating our logos and representing themselves as LendingClub in e-mail campaigns to e-mail addresses that have been obtained outside of LendingClub. In one particular scheme, third parties represented to individuals that they might obtain a loan if they paid an “advance fee.” Individuals who believe that the campaigns are genuine have in the past made, and may continue to make, payments to these unaffiliated third parties. Although we take commercially reasonable steps to prevent third-party fraud, we cannot always be successful in preventing individuals from suffering losses as a result of these schemes. Individuals who suffer damages due to the actions of these unaffiliated third parties may negatively view LendingClub, causing damage to our brand and reputation and reducing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accurately forecast demand for loans, our business could be harmed.</w:t>
      </w:r>
    </w:p>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operate a marketplace bank platform for consumer credit, balancing borrower demand for loans against investor demand for risk-adjusted returns. We offer credit to borrowers across a range of credit profiles and rates, and we offer loan purchase and investment opportunities across a range of risk-adjusted returns. Investor demand on our platform is sensitive to a variety of factors including loan performance, alternative investment opportunities and macroeconomic conditions. To aid our ability to forecast investor demand, from time to time, we may enter into agreements with marketplace investors that outline expected purchases. However, these order agreements are generally non-binding or contain provisions that allow for modification and/or cancellation of the order. Therefore, it is challenging to precisely forecast investor demand. In the event that borrower demand at a given credit rate exceeds marketplace investor demand for that product for a given period, we may fund the loans and hold them on our balance sheet, which carries certain risks. See the risk factor “</w:t>
      </w:r>
      <w:r>
        <w:rPr>
          <w:rFonts w:ascii="Times New Roman" w:cs="Times New Roman" w:eastAsia="Times New Roman" w:hAnsi="Times New Roman"/>
          <w:sz w:val="19"/>
          <w:szCs w:val="19"/>
          <w:i w:val="1"/>
          <w:iCs w:val="1"/>
          <w:color w:val="auto"/>
        </w:rPr>
        <w:t>Holding loans on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balance sheet exposes us to credit, default and liquidity risks, which may adversely affect our financial performance.</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Alternatively, in the event that marketplace investor demand at a given return exceeds borrower demand for that product for a given period, there may be insufficient inventory to satisfy the investor demand. If marketplace investors do not believe their demand can be met on our platform, they may seek alternative investments from ours and our business may suffer.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acquisitions and other strategic transactions may not yield the intended benefits.</w:t>
      </w:r>
    </w:p>
    <w:p>
      <w:pPr>
        <w:spacing w:after="0" w:line="260"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color w:val="auto"/>
        </w:rPr>
        <w:t>We have historically and may continue to evaluate and consider strategic transactions, combinations, acquisitions, dispositions or alliances.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However, any acquisition, disposition or other strategic transaction involves risks, including:</w:t>
      </w:r>
    </w:p>
    <w:p>
      <w:pPr>
        <w:spacing w:after="0" w:line="94" w:lineRule="exact"/>
        <w:rPr>
          <w:sz w:val="20"/>
          <w:szCs w:val="20"/>
          <w:color w:val="auto"/>
        </w:rPr>
      </w:pPr>
    </w:p>
    <w:p>
      <w:pPr>
        <w:ind w:left="660" w:right="180" w:hanging="328"/>
        <w:spacing w:after="0" w:line="248"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assimilating and integrating the operations, personnel, systems, data, technologies, products and services of the acquired business, which may require ongoing investment in development and enhancement of additional operational and reporting processes and controls;</w:t>
      </w:r>
    </w:p>
    <w:p>
      <w:pPr>
        <w:spacing w:after="0" w:line="46" w:lineRule="exact"/>
        <w:rPr>
          <w:rFonts w:ascii="Arial" w:cs="Arial" w:eastAsia="Arial" w:hAnsi="Arial"/>
          <w:sz w:val="22"/>
          <w:szCs w:val="22"/>
          <w:color w:val="auto"/>
        </w:rPr>
      </w:pPr>
    </w:p>
    <w:p>
      <w:pPr>
        <w:ind w:left="660" w:right="440" w:hanging="328"/>
        <w:spacing w:after="0" w:line="259"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inability of the acquired technologies, products or businesses to achieve expected levels of revenue, profitability, productivity or other benefits;</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retaining, training, motivating and integrating key personnel;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diversion of management’s time and resources from our normal daily operations;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successfully incorporating licensed or acquired technology and rights into our platform;</w:t>
      </w:r>
    </w:p>
    <w:p>
      <w:pPr>
        <w:spacing w:after="0" w:line="57" w:lineRule="exact"/>
        <w:rPr>
          <w:rFonts w:ascii="Arial" w:cs="Arial" w:eastAsia="Arial" w:hAnsi="Arial"/>
          <w:sz w:val="22"/>
          <w:szCs w:val="22"/>
          <w:color w:val="auto"/>
        </w:rPr>
      </w:pPr>
    </w:p>
    <w:p>
      <w:pPr>
        <w:ind w:left="660" w:right="100" w:hanging="328"/>
        <w:spacing w:after="0" w:line="259"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implementing and maintaining uniform standards, controls, procedures and policies within the combined organization, including if the acquired business does not have adequate controls, procedures and policies;</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difficulties in retaining relationships with customers, employees and suppliers of the acquired business;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risks of entering markets in which we have no or limited direct prior experience;</w:t>
      </w:r>
    </w:p>
    <w:p>
      <w:pPr>
        <w:spacing w:after="0" w:line="71" w:lineRule="exact"/>
        <w:rPr>
          <w:rFonts w:ascii="Arial" w:cs="Arial" w:eastAsia="Arial" w:hAnsi="Arial"/>
          <w:sz w:val="22"/>
          <w:szCs w:val="22"/>
          <w:color w:val="auto"/>
        </w:rPr>
      </w:pPr>
    </w:p>
    <w:p>
      <w:pPr>
        <w:ind w:left="660" w:right="20" w:hanging="328"/>
        <w:spacing w:after="0" w:line="245"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60" w:lineRule="exact"/>
        <w:rPr>
          <w:rFonts w:ascii="Arial" w:cs="Arial" w:eastAsia="Arial" w:hAnsi="Arial"/>
          <w:sz w:val="22"/>
          <w:szCs w:val="22"/>
          <w:color w:val="auto"/>
        </w:rPr>
      </w:pPr>
    </w:p>
    <w:p>
      <w:pPr>
        <w:ind w:left="660" w:right="600" w:hanging="328"/>
        <w:spacing w:after="0" w:line="259"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assumption of contractual obligations that contain terms that are not beneficial to us, require us to license or waive intellectual property rights or increase our risk for liability;</w:t>
      </w:r>
    </w:p>
    <w:p>
      <w:pPr>
        <w:spacing w:after="0" w:line="32"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failure to successfully further develop any acquired technology;</w:t>
      </w:r>
    </w:p>
    <w:p>
      <w:pPr>
        <w:spacing w:after="0" w:line="71" w:lineRule="exact"/>
        <w:rPr>
          <w:rFonts w:ascii="Arial" w:cs="Arial" w:eastAsia="Arial" w:hAnsi="Arial"/>
          <w:sz w:val="22"/>
          <w:szCs w:val="22"/>
          <w:color w:val="auto"/>
        </w:rPr>
      </w:pPr>
    </w:p>
    <w:p>
      <w:pPr>
        <w:ind w:left="660" w:right="340" w:hanging="328"/>
        <w:spacing w:after="0" w:line="248" w:lineRule="auto"/>
        <w:tabs>
          <w:tab w:leader="none" w:pos="655"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liability for activities of the acquired or disposed of business before the acquisition or disposition, including patent and trademark infringement claims, violations of laws, regulatory actions, commercial disputes, tax liabilities and other known and unknown liabilities;</w:t>
      </w:r>
    </w:p>
    <w:p>
      <w:pPr>
        <w:spacing w:after="0" w:line="4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difficulty in separating assets and replacing shared services;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assumption of exposure to performance of any acquired loan portfolios;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potential disruptions to our ongoing businesses;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0"/>
          <w:szCs w:val="20"/>
          <w:color w:val="auto"/>
        </w:rPr>
        <w:t>unexpected costs and unknown risks and liabilities associated with the acquisition.</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Accordingly, any acquisition, disposition or other strategic transaction may not be successful, may not benefit our business strategy, may not generate sufficient revenue to offset the associated costs or may not otherwise result in the intended benefits. Additionally, 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Any transactions, combinations, acquisitions, dispositions or alliances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In addition, we cannot assure you that any acquisition of new businesses or technology will lead to the successful development of new or enhanced products and services or that any new or enhanced products and services, if developed, will achieve market acceptance or prove to be profitable.</w:t>
      </w:r>
    </w:p>
    <w:p>
      <w:pPr>
        <w:spacing w:after="0" w:line="19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Finally, we may also choose to divest certain businesses or product lines that no longer fit with our strategic objectives. If we decide to sell assets or a business, we may have difficulty obtaining terms acceptable to us in 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timely manner, or at all. Additionally, the terms of such potential transactions may expose us to ongoing obligations and liabilities.</w:t>
      </w:r>
    </w:p>
    <w:p>
      <w:pPr>
        <w:spacing w:after="0" w:line="25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offer marketplace investors a satisfactory breadth and volume of investment opportunities, our business and results of operations may be materially harmed.</w:t>
      </w:r>
    </w:p>
    <w:p>
      <w:pPr>
        <w:spacing w:after="0" w:line="196"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20"/>
          <w:szCs w:val="20"/>
          <w:color w:val="auto"/>
        </w:rPr>
        <w:t>We invest in our marketplace bank platform and regularly iterate our processes to provide improved and more efficient investment opportunities, which includes efforts to provide marketplace investors the opportunity to invest in a broad selection of loans. However, various factors may contribute to certain loans being available only in a limited quantity or being entirely unavailable.</w:t>
      </w:r>
    </w:p>
    <w:p>
      <w:pPr>
        <w:spacing w:after="0" w:line="20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If marketplace investors are unable to invest in certain categories of loans, are unable to invest at the volume they desire, perceive that they are not offered the same investment opportunities as other investors and/or are dissatisfied with the risk-adjusted return they receive from investing on our platform, they may seek alternative investments from ours which may materially harm our business and results of operations.</w:t>
      </w:r>
    </w:p>
    <w:p>
      <w:pPr>
        <w:spacing w:after="0" w:line="21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Any challenge to or adverse consequence from our prior use of the issuing bank partnership model (or litigation or legislation aimed at thwarting certain transactions based on this model) may harm our business.</w:t>
      </w:r>
    </w:p>
    <w:p>
      <w:pPr>
        <w:spacing w:after="0" w:line="1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Prior to becoming a bank holding company, we utilized an issuing bank partnership model. Since becoming a banking organization, we have transitioned from an issuing bank partnership model to one in which we directly originate our loans. We believe that our historical use of the issuing bank partnership model was appropriate for all the jurisdictions in which we operated it, and we have worked with federal, state and local regulatory agencies to help them understand the model. However, we operate in a complex and evolving regulatory environment at the federal and state level and some enforcement authorities and private parties have challenged the ability to rely on legislative and judicial authority that permits a bank to “export” interest rates permitted by the laws of the state where the bank is located.</w:t>
      </w:r>
    </w:p>
    <w:p>
      <w:pPr>
        <w:spacing w:after="0" w:line="2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 xml:space="preserve">For example, in May 2015, the U.S. Court of Appeals for the Second Circuit issued its decision in </w:t>
      </w:r>
      <w:r>
        <w:rPr>
          <w:rFonts w:ascii="Times New Roman" w:cs="Times New Roman" w:eastAsia="Times New Roman" w:hAnsi="Times New Roman"/>
          <w:sz w:val="20"/>
          <w:szCs w:val="20"/>
          <w:i w:val="1"/>
          <w:iCs w:val="1"/>
          <w:color w:val="auto"/>
        </w:rPr>
        <w:t>Madden v. Midland Funding, LLC</w:t>
      </w:r>
      <w:r>
        <w:rPr>
          <w:rFonts w:ascii="Times New Roman" w:cs="Times New Roman" w:eastAsia="Times New Roman" w:hAnsi="Times New Roman"/>
          <w:sz w:val="20"/>
          <w:szCs w:val="20"/>
          <w:color w:val="auto"/>
        </w:rPr>
        <w:t xml:space="preserve"> that interpreted the scope of federal preemption under the National Bank Act and held that a nonbank assignee of a loan originated by a national bank may not be entitled to the benefits of federal preemption of claims of usury. The Second Circuit’s decision is binding on federal courts located in Connecticut, New York, and Vermont, but the decision could also be adopted by other courts. However, in 2020, the OCC issued a final rule clarifying that interest on a loan that is lawful under federal law for national banks and federal savings associations remains lawful upon the sale, assignment or other transfer of the loan (the OCC Rule). The FDIC issued a similar final rule in 2020 applicable to FDIC-insured state-chartered banks (the FDIC Rule). Since these final rules, several federal district courts have declined to follow the decision of the U.S. Court of Appeals for the Second Circuit in </w:t>
      </w:r>
      <w:r>
        <w:rPr>
          <w:rFonts w:ascii="Times New Roman" w:cs="Times New Roman" w:eastAsia="Times New Roman" w:hAnsi="Times New Roman"/>
          <w:sz w:val="21"/>
          <w:szCs w:val="21"/>
          <w:i w:val="1"/>
          <w:iCs w:val="1"/>
          <w:color w:val="auto"/>
        </w:rPr>
        <w:t>Madden v. Midland Funding, LLC</w:t>
      </w:r>
      <w:r>
        <w:rPr>
          <w:rFonts w:ascii="Times New Roman" w:cs="Times New Roman" w:eastAsia="Times New Roman" w:hAnsi="Times New Roman"/>
          <w:sz w:val="20"/>
          <w:szCs w:val="20"/>
          <w:color w:val="auto"/>
        </w:rPr>
        <w:t>, including in Colorado, Massachusetts and New York. On February 8, 2022, a federal district court granted summary judgment in favor of the OCC and FDIC in lawsuits brought by multiple states seeking to invalidate the OCC Rule and FDIC Rule (</w:t>
      </w:r>
      <w:r>
        <w:rPr>
          <w:rFonts w:ascii="Times New Roman" w:cs="Times New Roman" w:eastAsia="Times New Roman" w:hAnsi="Times New Roman"/>
          <w:sz w:val="20"/>
          <w:szCs w:val="20"/>
          <w:i w:val="1"/>
          <w:iCs w:val="1"/>
          <w:color w:val="auto"/>
        </w:rPr>
        <w:t>California, et al. v. The Office of the Comptroller of the Currency, et al.</w:t>
      </w:r>
      <w:r>
        <w:rPr>
          <w:rFonts w:ascii="Times New Roman" w:cs="Times New Roman" w:eastAsia="Times New Roman" w:hAnsi="Times New Roman"/>
          <w:sz w:val="20"/>
          <w:szCs w:val="20"/>
          <w:color w:val="auto"/>
        </w:rPr>
        <w:t xml:space="preserve">, No. 4:20-cv-05200-JSW (N.D. Cal.); </w:t>
      </w:r>
      <w:r>
        <w:rPr>
          <w:rFonts w:ascii="Times New Roman" w:cs="Times New Roman" w:eastAsia="Times New Roman" w:hAnsi="Times New Roman"/>
          <w:sz w:val="20"/>
          <w:szCs w:val="20"/>
          <w:i w:val="1"/>
          <w:iCs w:val="1"/>
          <w:color w:val="auto"/>
        </w:rPr>
        <w:t>California, et al. v. Federal Deposit Insurance Corporation</w:t>
      </w:r>
      <w:r>
        <w:rPr>
          <w:rFonts w:ascii="Times New Roman" w:cs="Times New Roman" w:eastAsia="Times New Roman" w:hAnsi="Times New Roman"/>
          <w:sz w:val="20"/>
          <w:szCs w:val="20"/>
          <w:color w:val="auto"/>
        </w:rPr>
        <w:t xml:space="preserve">, No. 4:20-cv-05860-JSW (N.D. Cal.)).While we believe that our prior use of the issuing bank model was appropriate and factually distinguishable from the decision of the U.S. Court of Appeals for the Second Circuit in </w:t>
      </w:r>
      <w:r>
        <w:rPr>
          <w:rFonts w:ascii="Times New Roman" w:cs="Times New Roman" w:eastAsia="Times New Roman" w:hAnsi="Times New Roman"/>
          <w:sz w:val="20"/>
          <w:szCs w:val="20"/>
          <w:i w:val="1"/>
          <w:iCs w:val="1"/>
          <w:color w:val="auto"/>
        </w:rPr>
        <w:t>Madden v. Midland Funding, LLC</w:t>
      </w:r>
      <w:r>
        <w:rPr>
          <w:rFonts w:ascii="Times New Roman" w:cs="Times New Roman" w:eastAsia="Times New Roman" w:hAnsi="Times New Roman"/>
          <w:sz w:val="20"/>
          <w:szCs w:val="20"/>
          <w:color w:val="auto"/>
        </w:rPr>
        <w:t>, the case could create potential liability under state statutes such as usury statutes. Further, state legislatures may enact new laws or amend existing laws aimed at undermining the ability of non-bank purchasers of loans to realize the outcome of a bank’s ability to export interest rates.</w:t>
      </w:r>
    </w:p>
    <w:p>
      <w:pPr>
        <w:spacing w:after="0" w:line="21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Any challenge to or adverse consequence of our prior use of the issuing bank partnership model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breach representations or warranties in connection with our marketplace investor transactions, including whole loan sales, structured products or securitization transactions, or if we suffer a direct or indirect loss in our retained interests in these transactions, our financial condition could be harmed.</w:t>
      </w:r>
    </w:p>
    <w:p>
      <w:pPr>
        <w:spacing w:after="0" w:line="20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make customary representations, warranties and covenants to marketplace investors about the loans we sell and service. We have sponsored, and expect to sponsor in the future, the sale of unsecured personal whole loans through asset-backed securitizations. In connection with these securitizations, as well as other Structured Program transactions, we make customary representations, warranties and covenants. If there is a breach of those representations, warranties and covenants that materially and adversely affects the subject loans, then we will be required to either cure the breach, repurchase the affected loans from the purchasing entity or investor or reimburse the purchasing entity or investor for incurred losses and expenses, as the case may be. These repurchase or reimbursement obligations could be material and have an adverse effect on our financial condition.</w:t>
      </w:r>
    </w:p>
    <w:p>
      <w:pPr>
        <w:spacing w:after="0" w:line="2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In the event that we suffer losses on all or a portion of the interests in any securitization transaction that we have retained (whether to comply with applicable risk retention rules or otherwise), our financial condition could be harmed. We may enter into similar transactions in the future and those transactions are likely to entail similar and other substantial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 could adversely affect our business and financial results.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In the past, we have had a significant amount of indebtedness. While our indebtedness has materially decreased, if our debt service obligations increase, whether due to the increased cost of existing indebtedness or the incurrence of additional indebtedness, more of our cash flow from operations would need to be allocated to the payment of principal of, and interest on, our indebtedness, which would reduce the funds available for other purposes. Our indebtedness also could limit our ability to execute our strategic plan and withstand competitive pressures and could reduce our flexibility in responding to changing business and economic conditions.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Should we desire to obtain additional indebtedness, we may require a guarantee by LC Bank, where substantially all of our operations are being conducted. Any such guarantee is subject to regulatory limitations and may require approval of the banking regulators, and there can be no assurance that we would be able to obtain such a guarantee. To the extent that we are not able to obtain a guarantee from LC Bank, or any guarantee is limited, it may be more difficult or expensive for us to borrow money.</w:t>
      </w:r>
    </w:p>
    <w:p>
      <w:pPr>
        <w:spacing w:after="0" w:line="2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color w:val="auto"/>
        </w:rPr>
        <w:t>Our ability to make payments on our debt, to repay our existing indebtedness when due, and to fund our business, operations and significant planned capital expenditures will depend on our ability to pay with available cash or generate cash in the future. This, to a certain extent, is subject to financial, competitive, legislative, regulatory and other factors that are beyond our control. In addition, if we cannot service our indebtedness, we may have to take actions such as utilizing available capital, limiting the facilitation of additional loans, selling assets, selling equity or reducing or delaying capital expenditures, strategic acquisitions, investments and alliances, any of which could impede the implementation of our business strategy, prevent us from entering into transactions that would otherwise benefit our business and/or adversely affect our business and financial results. We also may not be able to refinance our indebtedness or take such other actions, if necessary, on commercially reasonable terms, or at all.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MACROECONOMIC CONDITIONS OR OTHER EXTERNAL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current economic environment, including related uncertainties, could negatively affect our business and operating results.</w:t>
      </w: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U.S. economy has been undergoing a period of rapid change and significant uncertainty. A number of factors have been causing this change and uncertainty, including changing inflation and interest rates, evolving government policies and changing U.S. consumer spending patterns. Inflation reached a 40-year high of 9.1% in June 2022, and in response the FRB increased interest rates eleven times since early 2022, from a federal funds rate range of 0.00% to 0.25% in early 2022 to 5.25% to 5.50% in July 2023. While the FRB has since reduced rates to a range of 3.50%</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to 3.75% as of December 2025, it has indicated a willingness to adjust rates, including slowing the pace of rate decreases or increasing rates, as it deems necessary to combat inflation. Further, Federal economic policy is rapidly evolving and thereby creating uncertainty. For example, the establishment of, and subsequent revision(s) to, the Federal global tariff policy in 2025 was followed by market volatility and uncertainty in part due to the potential for tariffs to raise prices and thereby fuel increasing inflation and, subsequently, interest rates. Uncertainty with respect to tariffs, and the potential of elevated inflation and interest rates on U.S. consumers, are also changing spending patterns and thereby prompting concern that the U.S. could experience an economic downturn or prolonged period of slow economic growth.</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business is sensitive to, and may be adversely impacted by, uncertainty with respect to and changes in the inflation and interest rate environment. Among other things, as inflation and interest rates increase and/or remain elevated: (i) existing borrowers may allocate more of their income to necessities such as housing and food, thereby potentially increasing their risk of default by reducing their ability to make loan payments, which may warrant, and has in the past warranted, that we take additional provision for credit losses, (ii) the rate we offer on our deposit products may be elevated to remain competitive, thereby increasing our cost of funding and reducing our net interest margin, (iii) the return our loan products generate may be less attractive relative to other investment options, thereby reducing marketplace investor demand in our loan products, and (iv) we may need to increase interest rates and/or tighten credit standards for new originations, thereby potentially making it more challenging to source enough interested and qualified borrowers to enable sufficient origination volume. Further, the pace of changes in inflation and interest rates can create unique challenges in our ability to operate our business. For example, the rapid increase in interest rates in 2022 and 2023 quickly increased the cost of capital for our non-bank marketplace investors and thereby increased their return expectations. However, because our consumer loans are fixed interest rate products, we were unable to re-price existing loans, and with respect to new originations, we needed to re-price methodically to remain competitive and mitigate the adverse impacts of doing so. Therefore, until the interest rate environment stabilized, we were temporarily challenged to fully meet the return expectations for certain of our marketplace investors which adversely impacted our marketplace volume and related revenue.</w:t>
      </w:r>
    </w:p>
    <w:p>
      <w:pPr>
        <w:spacing w:after="0" w:line="22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Additionally, uncertainty regarding the economic environment could adversely impact borrower or marketplace investor interest in our products, adversely impact our third-party vendors, cause us to change, postpone or cancel our strategic initiatives, or otherwise negatively affect our business, financial condition and results of operations. Notably, the changes in the U.S. presidential administration and the composition of the U.S. Congress are leading to significant changes to the priorities, scope, practices and/or staffing levels of various governmental agencies. For example, in February 2025, the current presidential administration directed the CFPB to, among other things, suspend rule implementations and cease supervision activities. However, what additional changes will be made, whether the changes will be retained and the effect of the changes on the economic environment are currently uncertain and therefore the impact of the changes on our customers and business remains uncertain.</w:t>
      </w:r>
    </w:p>
    <w:p>
      <w:pPr>
        <w:spacing w:after="0" w:line="218"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color w:val="auto"/>
        </w:rPr>
        <w:t>The current economic environment, and its impact, may also have the effect of heightening many of the other risks described in “</w:t>
      </w:r>
      <w:r>
        <w:rPr>
          <w:rFonts w:ascii="Times New Roman" w:cs="Times New Roman" w:eastAsia="Times New Roman" w:hAnsi="Times New Roman"/>
          <w:sz w:val="20"/>
          <w:szCs w:val="20"/>
          <w:i w:val="1"/>
          <w:iCs w:val="1"/>
          <w:color w:val="auto"/>
        </w:rPr>
        <w:t>Item 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and elsewhere in our Annual Report, such as our exposure to the credit and default risk of borrowers, maintaining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increasing loan originations, maintaining our deposit base and retaining our marketplace investors.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interest rates could negatively affect transaction volume and our net interest income.</w:t>
      </w:r>
    </w:p>
    <w:p>
      <w:pPr>
        <w:spacing w:after="0" w:line="2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We offer loan products with both fixed and variable interest rates, depending on the type of loan. If interest rates rise, potential borrowers could seek to defer taking new loans as they wait for interest rates to decrease and/or settle, and borrowers of variable rate loans may be subject to increased interest rates, which could increase default risk. If interest rates decrease after a loan is made, existing borrowers may prepay their loans to take advantage of the lower rates and we may have to redeploy the proceeds into new loans at lower interest rates. Furthermore, marketplace investors would lose the opportunity to collect the higher interest rate payable on the corresponding loan and may delay or reduce future loan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Our net interest income is the interest we earn on loans and investments less the interest we pay on our deposits and borrowings. Our net interest margin is the difference between the yield we earn on our assets and the interest rate we pay for deposits and our other sources of funding. Changes in interest rates will cause our net interest income and margin to increase or decrease. To the extent that we hold loans for sale on our balance sheet, we will be at risk to rising interest rates between origination and sale. In order to sell such loans, we may need to reduce the sale price in order to satisfy the yield expectations of our marketplace investors. Further, we are exposed to interest rate risk because our interest-earning assets and interest-bearing sources of funding do not react uniformly or concurrently to changes in interest rates, as the two have different time periods for adjustment and can be tied to different measures of rates. Fluctuations in the interest rate environment may impact our net interest income, net interest margin and/or discourage investors and borrowers from participating on our marketplace bank platform and may reduce our loan originations, any of which may adversely affect our business.</w:t>
      </w:r>
    </w:p>
    <w:p>
      <w:pPr>
        <w:spacing w:after="0" w:line="20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Notwithstanding the above, we monitor interest rates and have certain avenues to manage our interest rate risk exposure, including changing the interest rate offered on deposits and the interest rate on our loan products. If our interest rate risk management strategies are not appropriately monitored or executed, or if borrower or depositor behavior or overall economic conditions are significantly different than we expect, then these activities may not effectively mitigate our interest rate sensitivity or have the desired impact on our results of operations or financial condition.</w:t>
      </w:r>
    </w:p>
    <w:p>
      <w:pPr>
        <w:spacing w:after="0" w:line="20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9"/>
          <w:szCs w:val="19"/>
          <w:color w:val="auto"/>
        </w:rPr>
        <w:t>Additionally, we use, and may in the future use, financial instruments for hedging and risk management purposes in order to protect against possible fluctuations in interest rates, or for other reasons that we may deem appropriate. However, any current or future hedges will not completely eliminate the risk associated with fluctuating interest rates and our hedging activities may prove to be ineffective. Any failure to manage our hedging positions properly or inability to enter into hedging instruments under acceptable terms, or any other unintended or unanticipated economic consequences of our hedging activities, could negatively affect our financial condition and results of operations.</w:t>
      </w:r>
    </w:p>
    <w:p>
      <w:pPr>
        <w:spacing w:after="0" w:line="18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decline in social and economic conditions may adversely affect our customers, which may negatively impact our business and results of operations.</w:t>
      </w:r>
    </w:p>
    <w:p>
      <w:pPr>
        <w:spacing w:after="0" w:line="1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a marketplace bank, we believe our customers are highly susceptible to uncertainties and negative trends in the markets driven by, among other factors, general social and economic conditions in the United States, abroad and the regional areas where our customers reside. Economic factors include interest rates, unemployment levels, tax and tariff rates, the impact of a federal government shutdown, natural disasters, public health emergencies, pandemics, gasoline prices, adjustments in monthly payments, adjustable-rate mortgages and other debt payments, the rate of inflation, relative returns available from competing investment products, economic downturns, periods of slow economic growth and consumer perceptions of economic conditions. Social factors include changes in consumer confidence levels and changes in attitudes with respect to incurring debt and the stigma of personal bankruptcy.</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These social and economic factors may impact demand for our products and services, including our loans, and may affect the ability or willingness of borrowers to make payments on their loans. Because we pass through collected borrower payments to marketplace investors or we make payments to these investors ratably only to the extent we receive the borrower’s payments on the corresponding loan, if we do not receive payment(s) on the corresponding loan, the investor will not be entitled to the corresponding amount(s) or payment(s) under the terms of the investment or whole loan purchase agreement. For example, elevated inflation and/or interest rates may cause borrowers to allocate more of their income to necessities, such as housing and food, thereby potentially increasing their risk of default by reducing their ability to make loan payments.</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some circumstances, economic and/or social factors could lead a borrower to prepay their loan obligations. In the event of a prepayment, while the marketplace investor would receive the return of principal, interest would no longer accrue on the loan. Accordingly, the return for the investor would decline as compared to a loan that was timely paid in accordance with its amortization schedule. There is no penalty to borrowers if they choose to pay their loan early.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Similarly, any adverse impact on the ability of borrowers to make loan payments and/or material increase in prepayment rates may also have a material impact on the net interest income we earn for loans held on our balance sheet.</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We strive to maintain a marketplace bank platform in which annual percentage rates are attractive to borrowers and returns, including the impact of credit losses and prepayments, are attractive to marketplace investors and the Company. These external economic and social conditions and resulting trends or uncertainties could adversely impact the ability or desire of our borrowers or marketplace investors to participate on our platform, which could negatively affect our business and results of operations. In addition to the discussion in this section, see “</w:t>
      </w:r>
      <w:r>
        <w:rPr>
          <w:rFonts w:ascii="Times New Roman" w:cs="Times New Roman" w:eastAsia="Times New Roman" w:hAnsi="Times New Roman"/>
          <w:sz w:val="20"/>
          <w:szCs w:val="20"/>
          <w:i w:val="1"/>
          <w:iCs w:val="1"/>
          <w:color w:val="auto"/>
        </w:rPr>
        <w:t>Part II – Item 7. Management’s Discussion and Analysis of Financial Condition and Results of Operations – Overview.</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operating results could be adversely affected by the political environment and governmental fiscal and monetary policies.</w:t>
      </w:r>
    </w:p>
    <w:p>
      <w:pPr>
        <w:spacing w:after="0" w:line="16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0"/>
          <w:szCs w:val="20"/>
          <w:color w:val="auto"/>
        </w:rPr>
        <w:t>An unpredictable or volatile political environment in the United States, including any related social unrest, could negatively impact business and market conditions, economic growth, financial stability, and business, consumer, investor, and regulatory sentiments, any one or more of which in turn could cause our business and financial results to suffer.</w:t>
      </w:r>
    </w:p>
    <w:p>
      <w:pPr>
        <w:spacing w:after="0" w:line="18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Our business and financial results are also significantly affected by the fiscal and monetary policies of the U.S. government and its agencies. We are particularly affected by the policies of the FRB, which regulates the supply of money and credit in the United States in pursuit of maximum employment, stable prices, and moderate long-term interest rates. The FRB and its policies influence the availability and demand for loans and deposits, the rates and other terms for loans and deposits, the conditions in equity, fixed-income, currency, and other markets, and the value of securities and other financial instruments. For example, in response to elevated inflation, the FRB increased interest rates eleven times since early 2022, from a federal funds rate range of 0.00% to 0.25% in early 2022 to 5.25% to 5.50% in July 2023. While the FRB has since reduced rates to a range of 3.50% to 3.75% as of December 2025, it has indicated a willingness to adjust rates, including slowing the pace of rate decreases or increasing rates, as it deems necessary to combat inflation. Further, it is difficult to predict changes to fiscal and monetary policies by the current U.S. Congress and presidential administration. New appointments to the FRB could affect monetary policy and interest rates. Further, future legislation, regulation and changes in trade and fiscal policy could affect the banking industry and our business and financial results in ways that are difficult to predict.</w:t>
      </w:r>
    </w:p>
    <w:p>
      <w:pPr>
        <w:spacing w:after="0" w:line="22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9"/>
          <w:szCs w:val="19"/>
          <w:color w:val="auto"/>
        </w:rPr>
        <w:t>Additionally, tax and other fiscal policies impact not only general economic and market conditions but also give rise to incentives or disincentives that affect how we and our customers prioritize objectives, deploy resources, and run households or operate businesses. Both the timing and the nature of any changes in monetary or fiscal policies, as well as their consequences for the economy and the markets in which we operate, are beyond our control and difficult to predict but could adversely affect our business and operating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publicity and unfavorable media coverage could negatively affect our business.</w:t>
      </w:r>
    </w:p>
    <w:p>
      <w:pPr>
        <w:spacing w:after="0" w:line="2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Negative publicity about our industry or our company, including with respect to the quality and reliability of our marketplace bank, effectiveness of the credit decisioning or scoring models used in our marketplace bank platform, the effectiveness of our collection efforts, statements regarding investment returns, changes to our marketplace bank, our ability to grow our borrower and investor base at a rate expected by the market, our ability to effectively manage and resolve borrower and investor complaints, our ability to manage borrower and investor accounts in compliance with regulatory requirements which may not be clear, privacy and security practices, use of loan proceeds by certain borrowers of ours or other companies in our industry for illegal purposes, litigation, regulatory activity, and the experience of borrowers and investors with our marketplace bank, products or services, even if inaccurate, could adversely affect our reputation and the confidence in, and the use of, our bank, products and services, which could harm our business and operating results. Harm to our reputation can arise from many sources, including employee misconduct or error, misconduct or errors by our partners or partners of partners, other online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marketplace banks, outsourced service providers or other counterparties, failure by us or our partners to meet minimum standards of service and quality, inadequate protection of borrower and investor information and compliance failures and claims.</w:t>
      </w:r>
    </w:p>
    <w:p>
      <w:pPr>
        <w:spacing w:after="0" w:line="169"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may be adversely impacted by political events, terrorism, military conflict or acts of war, cyber-attacks, public health issues, natural disasters, severe weather, climate change, infrastructure failure or outages, labor disputes and other business interruptions.</w:t>
      </w:r>
    </w:p>
    <w:p>
      <w:pPr>
        <w:spacing w:after="0" w:line="2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business operations are subject to interruption by, among other things, political events, terrorism, military conflict or acts of war, cyber-attacks, public health issues, natural disasters, severe weather, climate change (including longer-term shifts in climate patterns, such as extreme heat, sea level rise and more frequent and prolonged drought), infrastructure failure or outages (including power outages), labor disputes and other events which could: (i) decrease demand for our products and services, (ii) adversely affect the macroeconomy and/or our customers, or (iii) make it difficult or impossible for us to deliver a satisfactory experience to our customers. Any such events could also affect the Company by impacting the stability of our deposit base, impairing the ability of our borrowers to repay their outstanding loans, causing significant property damage or otherwise impair the value of collateral securing our loans, and/or resulting in loss of revenue and/or causing us to incur additional expenses. While we may undertake measures indicated to mitigate the adverse impacts of such events, there are no assurances that any of the measures we take will be sufficient or successful.</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Furthermore, in the event of any disruption to our operations or those of the companies with whom we do business, we could experience delays in product development, marketing, operations and customer service efforts, incur significant losses, require substantial recovery time and experience significant expenditures in order to resume or maintain operations, any of which could have a material adverse impact on our business, financial condition and results of operations.</w:t>
      </w:r>
    </w:p>
    <w:p>
      <w:pPr>
        <w:spacing w:after="0" w:line="21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Similarly, natural disasters have had, and likely will continue to have, unpredictable and/or adverse effects on our customers. With increases to the frequency, breadth and impact of natural disasters, such as fires and hurricanes, the potential for a single or series of natural disaster(s) to have a material adverse impact on our business is also increasing.</w:t>
      </w:r>
    </w:p>
    <w:p>
      <w:pPr>
        <w:spacing w:after="0" w:line="19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Finally, geopolitical conflicts as well as natural disasters such as the 2025 Los Angeles area wildfires, and their impacts, have had, and may continue to have, the effect of heightening many of the other risks described in “</w:t>
      </w:r>
      <w:r>
        <w:rPr>
          <w:rFonts w:ascii="Times New Roman" w:cs="Times New Roman" w:eastAsia="Times New Roman" w:hAnsi="Times New Roman"/>
          <w:sz w:val="20"/>
          <w:szCs w:val="20"/>
          <w:i w:val="1"/>
          <w:iCs w:val="1"/>
          <w:color w:val="auto"/>
        </w:rPr>
        <w:t>Item 1A. Risk Factors</w:t>
      </w:r>
      <w:r>
        <w:rPr>
          <w:rFonts w:ascii="Times New Roman" w:cs="Times New Roman" w:eastAsia="Times New Roman" w:hAnsi="Times New Roman"/>
          <w:sz w:val="20"/>
          <w:szCs w:val="20"/>
          <w:color w:val="auto"/>
        </w:rPr>
        <w:t>” and elsewhere in our Annual Report, such as escalating inflation, elevating the possibility of a decline in economic conditions and increasing cybersecurity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CREDIT AND COLLECTIONS</w:t>
      </w:r>
    </w:p>
    <w:p>
      <w:pPr>
        <w:spacing w:after="0" w:line="25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the credit decisioning, pricing,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ability to attract customers to, and build trust in, our marketplace bank platform is significantly dependent on our ability to effectively evaluate a borrower’s credit profile and likelihood of default. To conduct this evaluation, we utilize credit decisioning, pricing, loss forecasting and scoring models that assign each loan offered through our marketplace bank platform a grade and a corresponding interest rate. Our models are based on algorithms that evaluate a number of factors, including behavioral data, transactional data, bank data and employment information, which may not effectively predict future loan losses. If we are unable to effectively segment borrowers into relative risk profiles, we may be unable to offer attractive interest rates for borrowers and risk-adjusted returns for marketplace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9"/>
          <w:szCs w:val="19"/>
          <w:color w:val="auto"/>
        </w:rPr>
        <w:t>Additionally, if these models fail to adequately assess the creditworthiness of our borrowers, we may experience higher than forecasted losses. Furthermore, as stated above, we hold loans on our balance sheet. We periodically assess the value of these loans and in doing so we review and incorporate a number of factors including forecasted losses. Accordingly, if we fail to adequately assess the creditworthiness of borrowers such that we experience higher than forecasted losses, the value of the loans held on our balance sheet may be adversely affected.</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We continually refine these algorithms based on new data and changing macroeconomic conditions. However, there is no guarantee that the credit decisioning, pricing, loss forecasting and scoring models that we use have accurately assessed the creditworthiness of our borrowers, or will be effective in assessing creditworthiness in the future.</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Similarly, if any of these models contain programming or other errors, are ineffective, or include misunderstood or incorrectly set assumptions or limitations, or the data provided by borrowers or third parties is incorrect or stale, our loan pricing and approval process could be negatively affected, resulting in mispriced or misclassified loans or incorrect approvals or denials of loans. If these errors were to occur, we may be obligated to repurchase the affected loans, marketplace investors may try to rescind their affected purchases or investments or decide not to purchase or invest in loans in the future or borrowers may seek to revise the terms of their loans or reduce the use of our marketplace bank platform for loans.</w:t>
      </w:r>
    </w:p>
    <w:p>
      <w:pPr>
        <w:spacing w:after="0" w:line="21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Additionally, we have entered, and may continue to enter, into credit support agreements where we may be obligated to make payments to certain marketplace investors if the losses on their loan portfolios exceed certain agreed-upon thresholds. If we are unable to accurately predict and manage losses, credit losses may exceed these agreed-upon thresholds and we may be obligated to make payments to these marketplace investors, which could negatively impact our results of operations.</w:t>
      </w:r>
    </w:p>
    <w:p>
      <w:pPr>
        <w:spacing w:after="0" w:line="19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9"/>
          <w:szCs w:val="19"/>
          <w:color w:val="auto"/>
        </w:rPr>
        <w:t>Further, the use of these models, algorithms and AI for determining loan grades and corresponding interest rates may also heighten the risk of legal or regulatory scrutiny. We may be required to alter our models for compliance purposes, which could impact the interest rates offered to borrowers, the risk-adjusted returns offered to marketplace investors, result in higher losses or otherwise impact our results of operations.</w:t>
      </w:r>
    </w:p>
    <w:p>
      <w:pPr>
        <w:spacing w:after="0" w:line="187"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collection efforts on loans are ineffective or unsuccessful, the return on investment for investors in those loans would be adversely affected and investors may not find investing through our marketplace bank platform desirable.</w:t>
      </w:r>
    </w:p>
    <w:p>
      <w:pPr>
        <w:spacing w:after="0" w:line="19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Many of our loan products, including all of our personal loans, are unsecured obligations of borrowers, and they are not secured by any collateral. None of the loans facilitated on our platform are guaranteed or insured by any third party or backed by any governmental authority in any way. We are the loan servicer for all loans supporting our Structured Program transactions and we are the loan servicer for most, though not all, loans sold as whole loans. The ability to collect on the loans is dependent on the borrower’s continuing financial stability and willingness to make loan payments, and consequently, collections can be adversely affected by a number of factors, including job loss, divorce, death, illness, bankruptcy or the economic and/or social factors referenced above in the risk factor “</w:t>
      </w:r>
      <w:r>
        <w:rPr>
          <w:rFonts w:ascii="Times New Roman" w:cs="Times New Roman" w:eastAsia="Times New Roman" w:hAnsi="Times New Roman"/>
          <w:sz w:val="19"/>
          <w:szCs w:val="19"/>
          <w:i w:val="1"/>
          <w:iCs w:val="1"/>
          <w:color w:val="auto"/>
        </w:rPr>
        <w:t>A decline in social and economic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conditions may adversely affect our customers, which may negatively impact our business and results of operations</w:t>
      </w:r>
      <w:r>
        <w:rPr>
          <w:rFonts w:ascii="Times New Roman" w:cs="Times New Roman" w:eastAsia="Times New Roman" w:hAnsi="Times New Roman"/>
          <w:sz w:val="19"/>
          <w:szCs w:val="19"/>
          <w:color w:val="auto"/>
        </w:rPr>
        <w:t>.” Furthermore,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application of various federal and state laws, including bankruptcy and insolvency laws, may limit the amount that can be recovered on these loans. Accordingly, we and our designated third-party servicers and collection agencies are limited in our ability to collect loans.</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addition, most marketplace investors depend on us or our third-party servicers and collection agencies to pursue collection on delinquent borrower loans. Collections are remitted to marketplace investors only to the extent we receive payments on the corresponding loans. If we, or third parties on our behalf, cannot adequately perform collection services on the loans, the marketplace investor will not be entitled to any remittances under the terms of the investment. Further, if collection action must be taken in respect of a loan, we or the collection agency may charge a collection fee on any amounts that are obtained (excluding litigation). These fees will correspondingly reduce the amounts of any payments received by an investor. Similarly, the returns to investors may be impacted by declines in market rates for sales of charged-off loans to third-party purchasers. Ultimately, if delinquencies impair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our ability to offer competitive risk-adjusted returns for marketplace investors, they may seek alternative investments and our business may suffer.</w:t>
      </w:r>
    </w:p>
    <w:p>
      <w:pPr>
        <w:spacing w:after="0" w:line="17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In addition, if we experience a significant increase in the number of charged-off loans we will be unable to collect our servicing fee for such loans and our revenue could be adversely affected.</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Further, we use internet-based processes to obtain application information and distribute certain legally required notices to applicants and borrowers of our loans and to obtain electronically signed loan documents. These processes may result in greater risks than paper-based loan originations, including risks regarding the sufficiency of notice for consumer protection laws, risks that borrowers may challenge the authenticity of loan documents or the validity of the borrower’s electronic signature on loan documents and risks that unauthorized changes are made to electronic loan documents. Any of these factors could cause our loans or certain terms of our loans to be unenforceable against a borrower or impair our ability to service the loans, which could adversely affect the value of our loans and our business, financial condition and results of operations.</w:t>
      </w:r>
    </w:p>
    <w:p>
      <w:pPr>
        <w:spacing w:after="0" w:line="216"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Credit and other information that we receive from borrowers or third parties about a borrower may be inaccurate or may not accurately reflect the borrower’s creditworthiness, which may cause us to inaccurately price loans made through our marketplace bank platform.</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ability to review and select qualified borrowers depends on obtaining borrower credit information from consumer reporting agencies, such as TransUnion, Experian or Equifax, and other third parties. We assign loan grades to loan requests based on our credit decisioning and scoring models that take into account reported credit score, other information reported by the consumer reporting agencies and the requested loan amount, in addition to a variety of other factors. A credit score or loan grade assigned to a borrower may not reflect that borrower’s actual creditworthiness because the credit score or loan grade may be based on outdated, incomplete or inaccurate data, including consumer reporting data, and we do not verify the information obtained from a borrower’s credit report.</w:t>
      </w:r>
    </w:p>
    <w:p>
      <w:pPr>
        <w:spacing w:after="0" w:line="20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Additionally, there is a risk that, following the date of the credit report or other third-party data that we obtain and review, a borrower may have:</w:t>
      </w:r>
    </w:p>
    <w:p>
      <w:pPr>
        <w:spacing w:after="0" w:line="38"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delinquent in the payment of an outstanding obligation;</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defaulted on a pre-existing debt obligation;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taken on additional debt; or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sustained other adverse financial events.</w:t>
      </w:r>
    </w:p>
    <w:p>
      <w:pPr>
        <w:spacing w:after="0" w:line="2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borrowers supply a variety of information, including information that is included in the loan listings on our marketplace bank platform, and this information may be inaccurate or incomplete. To verify a borrower’s identity, income or employment, our verification process and teams connect to various data sources, directly or through third-party service providers, contact the human resources department of the borrower’s stated employer, or request pay stubs. However, we often do not verify a borrower’s stated income, tenure, job title, home ownership status or intention for the use of loan proceeds.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factors above may result in loans being issued to otherwise non-qualified borrowers and/or impact our ability to effectively segment borrowers into relative risk profiles, each of which may impair our ability to offer competitive risk-adjusted returns for investors, which may cause investors to seek alternative investments from ours and our business may suffer. Additionally, if borrowers default on loans that are not priced correctly because the information provided by the borrowers or third parties is inaccurate, investors may try to rescind their affected investments in these loans or the loans may not perform as expected and our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and increasing competition in our industry may harm our business.</w:t>
      </w:r>
    </w:p>
    <w:p>
      <w:pPr>
        <w:spacing w:after="0" w:line="24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The financial services and banking industry is highly competitive. We compete with financial products and companies that attract borrowers, depositors, and/or marketplace investors.</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Many of our competitors have significantly greater financial resources and may have access to less expensive capital than we do, and may offer a broader range of products, services or features, assume a greater level of risk, have lower operating or financing costs, or have different profitability expectations than us. Certain competitors may be able to offer lower rates to borrowers than we are able to offer and/or structure their products in a manner that is more attractive to potential customers. Additionally, some of our competitors have less regulatory oversight and/or lower cost structures than us. Further, competition within the financial services industry is increasing as technology (such as artificial intelligence) enables efficiencies and innovations, additional companies obtain bank charters, and non-banks expand the scope of their products and services.</w:t>
      </w:r>
    </w:p>
    <w:p>
      <w:pPr>
        <w:spacing w:after="0" w:line="22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If we do not offer, price and develop attractive products and services for our customers, we may not be able to compete effectively against our competitors and our business and results of operations may be materially harmed. Additionally, competition may drive us to take actions that we might otherwise avoid, such as lowering interest rates or fees on loans or raising interest rates on deposits, and that may adversely affect our business and results of operations.</w:t>
      </w:r>
    </w:p>
    <w:p>
      <w:pPr>
        <w:spacing w:after="0" w:line="2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For example, in response to the proposal for a 10% cap on credit card interest rates, and as of the date of this Annual Report, certain companies or financial institutions are offering or are reported to be considering offering credit card products with a 10% promotional interest rate. A significant portion of loan customers use our personal loan product to refinance existing higher interest rate credit card debt into a lower interest rate personal loan with us. Lower interest rates on credit cards could be accompanied by a reduction in credit availability, which may present an opportunity for us to offer our personal loan product to customers unable to obtain credit through credit cards. However, the impact of a reduction in credit card interest rates, net of any potential opportunities we may have as a result, especially a sustained, a broad-based and/or retroactively applied reduction, is uncertain and could materially and adversely impact our origination volume,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adversely affected by the soundness of other financial institutions.</w:t>
      </w:r>
    </w:p>
    <w:p>
      <w:pPr>
        <w:spacing w:after="0" w:line="2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addition, events or perceptions with respect to liquidity, defaults and other markers of stability, performance and/or strength within the financial services industry have led, and may in the future lead, to market-wide liquidity concerns, erosion of confidence in the banking system, the closure of financial services institutions and other adverse consequences. For example, in 2023, Silicon Valley Bank, Signature Bank, and First Republic Bank each failed shortly after substantial reductions in their deposit bases over the course of a few days/weeks. Any such events or perceptions may make our members reluctant to use our products and services or could adversely affect our business, financial condition and results of operations. Further, increases in our FDIC insurance premiums in connection with bank failures, or other events, may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PERSONNEL AND THIRD PARTIES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attract and retain highly skilled employees needed to support our business, we may not be able to achieve our anticipated level of growth and our business could suffer.</w:t>
      </w:r>
    </w:p>
    <w:p>
      <w:pPr>
        <w:spacing w:after="0" w:line="19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believe our success depends on the efforts and talents of our employees, including software engineers, financial, banking, credit and risk personnel, and marketing professionals. Our future success depends on our continued ability to attract, develop, motivate and retain highly qualified and skilled employees. Competition for highly skilled technical and financial personnel, particularly in the San Francisco Bay Area, is extremely intense. Building and maintaining a positive culture and work environment that reinforces our values is also critical to attracting and retaining employees.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previously experienced a high attrition rate from employees and while attrition rates have materially reduced recently, they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again become elevated. We periodically make adjustments to our compensation levels and structures as our business and the competitive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market for talent evolves. Further, many of the companies with which we compete for experienced employees have greater resources than we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and may be able to offer more attractive terms of employment. While we strive to create a fulfilling workplace with competitive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certain existing and prospective employees may find our workplace and/or compensation levels and structures to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unattractive, which may adversely impact our business by compromising our ability to retain and recruit an appropriately skilled workforce.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changes in U.S. immigration policy may make it difficult to renew or obtain visas for certain highly skilled employees that we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hired or are recruiting. For example, in September 2025, the current presidential administration issued a proclamation requiring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$100,000 fee for new H-1B visa applications. We cannot predict what other changes, if any, will be made to U.S. immigration policy, whether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will be retained or the effect that such changes may have on our business and earnings prospects or our ability to recruit or hire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highly skilled employees.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In addition to attracting and retaining highly skilled employees in general, our future performance depends, in part, on our ability to attract and retain key personnel, including our executive officers, senior management team and other key personnel, all of whom would be difficult to replace. The loss of the services of our executive officers, members of our senior management team or key employees and functions, and the process to replace and/or rebuild any of them, involve significant time and expense and distraction that may significantly delay or prevent the achievement of our business objectives or impair our operations or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Misconduct and errors by our employees, contractors and third-party service providers could harm our business and reputation.</w:t>
      </w:r>
    </w:p>
    <w:p>
      <w:pPr>
        <w:spacing w:after="0" w:line="2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are exposed to many types of operational risk, including the risk of misconduct and errors by our employees and other third-party service providers. Our business depends on our employees, contractors and third-party service providers to facilitate the operation of our business and process a large number of increasingly complex transactions, and if any of our employees, contractors or third-party service providers provide unsatisfactory service or take, convert or misuse funds, documents or data (including customer and/or internal documents or data), make an error, or fail to follow protocol when interacting with customers, we could lose customers, harm our reputation, be liable for damages, be subject to repurchase obligations and be subject to complaints, regulatory actions and penalties.</w:t>
      </w:r>
    </w:p>
    <w:p>
      <w:pPr>
        <w:spacing w:after="0" w:line="2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While we have internal procedures and oversight functions to protect us against these risks, we could also be perceived to have facilitated or participated in the illegal misappropriation of funds, documents or data, or the failure to follow protocol, and therefore be subject to civil or criminal liability. Additionally, while we have a third-party risk management program, we do not control our third-party service providers and there can be no assurance that they will notify us of any potential risks or incidents in a timely manner or that our risk management program will mitigate the negative impact of a third-party service provider on our business.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Additionally, our use of third-party vendors is subject to increasingly demanding regulatory requirements and attention by our regulators. Regulations require us to perform due diligence of, perform ongoing monitoring of and exercise certain controls over our third-party vendors and other ongoing third-party business relationships. We expect that our regulators will hold us responsible for deficiencies in our oversight and control of our third-party relationships and in the performance of the parties with which we have these relationships.</w:t>
      </w:r>
    </w:p>
    <w:p>
      <w:pPr>
        <w:spacing w:after="0" w:line="19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20"/>
          <w:szCs w:val="20"/>
          <w:color w:val="auto"/>
        </w:rPr>
        <w:t>Any of these occurrences could result in our diminished ability to operate our business, potential liability to customers, inability to attract future customers, reputational damage, regulatory intervention, enforcement action and financial harm, which could negatively impact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depends in part on the success of our strategic relationships with third parties.</w:t>
      </w:r>
    </w:p>
    <w:p>
      <w:pPr>
        <w:spacing w:after="0" w:line="26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In order to grow our business and effectuate our business strategy, we anticipate that we will depend in part on our ability to develop and expand our strategic relationship with third parties to offer additional products and services on our platform.</w:t>
      </w:r>
    </w:p>
    <w:p>
      <w:pPr>
        <w:spacing w:after="0" w:line="20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Identifying suitable partners, and negotiating and documenting relationships with them, requires significant time and resources. In some cases, we also compete directly with our partners’ product offerings, and if these partners cease their strategic relationship with us it could result in fewer product and service offerings on our platform, which may impede our ability to execute on our business strategy. Further, if we are unsuccessful in establishing or maintaining our relationships with third parties, or realizing the anticipated benefits from such partnerships, our ability to compete and to grow our revenue could be impaired and our operating results may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disruption or failure in services provided by third parties could materially and adversely affect our business.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increasingly rely on third parties to provide and/or assist with certain critical aspects of our business, including: (i) customer support,</w:t>
      </w:r>
    </w:p>
    <w:p>
      <w:pPr>
        <w:spacing w:after="0" w:line="22" w:lineRule="exact"/>
        <w:rPr>
          <w:sz w:val="20"/>
          <w:szCs w:val="20"/>
          <w:color w:val="auto"/>
        </w:rPr>
      </w:pPr>
    </w:p>
    <w:p>
      <w:pPr>
        <w:ind w:firstLine="8"/>
        <w:spacing w:after="0" w:line="249" w:lineRule="auto"/>
        <w:tabs>
          <w:tab w:leader="none" w:pos="29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collections, (iii) loan origination, (iv) data verification, (v) record keeping and (vi) cloud computing. These third parties may be subject to cybersecurity incidents, privacy breaches, service disruptions and/or financial, legal, regulatory, labor or operational issues; any of which may result in the third party providing inadequate service levels to us or our customers. In addition, these third parties may breach their agreements with us and/or refuse to continue or renew these agreements on commercially reasonable terms. If any third party provides inadequate service levels or fails to provide services at all, we may face business disruptions, customer dissatisfaction, reputational damage and/or financial and legal exposure; any of which may harm our business.</w:t>
      </w:r>
    </w:p>
    <w:p>
      <w:pPr>
        <w:spacing w:after="0" w:line="21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controls and procedures may be inadequate, fail or be circumvented and our business, operating results and financial condition may be adversely affected.</w:t>
      </w:r>
    </w:p>
    <w:p>
      <w:pPr>
        <w:spacing w:after="0" w:line="19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are required to maintain effective controls and procedures, including internal controls over our operations, financial reporting, disclosure controls and procedures, compliance monitoring and corporate governance policies and procedures. Designing and implementing effective controls and procedures is a continuous effort that requires us to anticipate and react to changes in our business, industry and the economic and regulatory environment and to expend significant resources to maintain a system of controls that is adequate to satisfy our public company and bank regulatory obligations.</w:t>
      </w:r>
    </w:p>
    <w:p>
      <w:pPr>
        <w:spacing w:after="0" w:line="21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If we are unable to establish and maintain appropriate controls and procedures, or if our employees, contractors or third-party service providers fail to abide by or circumvent such controls and procedures, it could cause us to fail to meet our regulatory or financial reporting obligations, cause us to fail to timely detect errors, result in misstatements or omissions in our consolidated financial statements, harm our operating results and financial condition or otherwise adversely affect our business operations. We could also become subject to investigations by the NYSE, the SEC, our banking regulators, or state agencies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DATA, INTELLECTUAL PROPERTY AND PRIVACY</w:t>
      </w:r>
    </w:p>
    <w:p>
      <w:pPr>
        <w:spacing w:after="0" w:line="25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Security incidents, system failures, bugs in our system, and similar disruptions could impair our operations, compromise the confidential information of our borrowers and our investors, damage our reputation, and harm our business and financial performance.</w:t>
      </w:r>
    </w:p>
    <w:p>
      <w:pPr>
        <w:spacing w:after="0" w:line="1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We believe the technology platform that powers our marketplace bank enables us to deliver solutions to customers and provides a significant time and cost advantage over traditional banks. The satisfactory performance, reliability and availability of our technology and underlying network infrastructure are critical to our operations, customer service and reputation. Like all information systems and technology, our systems may contain or develop material errors, failures, vulnerabilities or bugs, particularly when new features or capabilities are released, and may be subject to computer viruses or other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make it difficult or impossible for us to deliver a satisfactory experience to our customers. Our failure to maintain satisfactory performance, reliability and availability of our technology and underlying network infrastructure may impair our ability to attract new customers and retain existing customers, which could have a material adverse effect on our business.</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Our business involves the collection, storage, processing and transmission of customers’ personal information, including their financial information. The highly automated nature of our marketplace bank, our reliance on digital technologies and the types and amount of data collected, stored and processed on our systems make us an attractive target and subject to cyber-attacks, computer viruses, ransomware, physical or electronic break-ins and similar disruptions. While we have taken steps to protect confidential information that we collect, create, or have access to, our security measures or those of our third-party vendors and business partners are subject to breach. Unauthorized access to our proprietary business information or customer data may be obtained through, among other things, break-ins, sabotage, computer malware, viruses, social engineering, ransomware attacks, hacking into the systems or facilities of us or our partners, vendors, or customers, exposing and exploiting design flaws in our software, or other misconduct, including by state-sponsored and other sophisticated organizations. Such incidents have become more prevalent in recent years and may target our systems or facilities or those of our partners, vendors, or customers. For example, outside parties have attempted to fraudulently induce employees, vendors, customers, and others to disclose sensitive or confidential information in order to gain access to our systems. Our security measures could also be compromised by our personnel, theft or errors, or be insufficient to prevent exploitation of security vulnerabilities in software or systems on which we rely.</w:t>
      </w:r>
    </w:p>
    <w:p>
      <w:pPr>
        <w:spacing w:after="0" w:line="2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Cyber-attacks have occurred on our systems in the past and may occur on our systems in the future. Although in 2025 we did not suffer material costs or disruption to our business from any such incident, unauthorized access to our marketplace bank and servicing systems can result in confidential borrower and investor information being stolen and potentially used for criminal purposes. Breaches of our security measures could negatively impact our relationships with customers, lead to interruptions or delays or make it difficult or impossible for us to deliver a satisfactory experience to our customers and expose us to liability related to the loss of the information, time-consuming expensive litigation and negative publicity. Moreover, any future security breach may also result in the theft of our intellectual property, proprietary data, or trade secrets, which could have a material adverse impact on our reputation, business operations and financial performance.</w:t>
      </w:r>
    </w:p>
    <w:p>
      <w:pPr>
        <w:spacing w:after="0" w:line="20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color w:val="auto"/>
        </w:rPr>
        <w:t>We also may be required to notify regulators, affected individuals and/or stockholders about any actual or perceived data breach involving personal information or material cybersecurity incident within strict time periods. This notice may be difficult to provide in a timely fashion for many reasons, including due to the complexity of gathering, verifying and analyzing relevant information. Furthermore, disclosures regarding a security breach may be costly to implement and often lead to widespread negative publicity, which may cause customers to lose confidence in the effectiveness of our data security measures. Any security breach, whether actual or perceived, would harm our reputation, could cause us to lose borrowers, investors and ecosystem partners and could adversely affect our business and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Because there are many different cybercrime and hacking techniques and such techniques continue to evolve, including from cyber-attacks using AI, we may be unable to anticipate attempted security breaches, react in a timely manner or implement adequate preventative or remediation measures. Cyber-attacks may take advantage of weaknesses in third-party technology or standards of which we are unaware or that we do not control and may not be recognized until long after they have been launched. Certain efforts may be state-sponsored or from other sophisticated organizations, and supported by significant financial and technological resources, making them even more difficult to detect. Efforts to prevent hackers from disrupting our services or otherwise accessing our systems are expensive to develop, implement, and maintain. Such efforts require ongoing monitoring and updating as technologies change and efforts to overcome security measures become more sophisticated and may limit the functionality of, or otherwise adversely impact, our service offerings and systems.</w:t>
      </w:r>
    </w:p>
    <w:p>
      <w:pPr>
        <w:spacing w:after="0" w:line="20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The systems we rely upon also remain vulnerable to damage or interruption from a number of other factors, including the failure of our network or software systems, natural disasters, terrorism, telecommunication failures, human error, third-party error, other-man made problems, and similar events or disruptions. Any interruptions or delays in our technology systems or service, whether accidental or willful, could harm our relationships with our customers and our reputation. Additionally,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These factors could prevent us from processing or posting payments on loans, impact our bank operations, damage our brand and reputation, divert our employees’ attention, reduce our revenue, subject us to liability and cause customers to abandon our marketplace bank platform, any of which could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Cyber-attacks suffered by third parties upon which we rely could negatively affect our business.</w:t>
      </w:r>
    </w:p>
    <w:p>
      <w:pPr>
        <w:spacing w:after="0" w:line="26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rely on third-party service providers to provide critical services that help us deliver our solutions and operate our business. These providers may store or otherwise process the same sensitive, proprietary, and confidential information that we handle. For example, in certain circumstances we utilize third-party vendors, including cloud applications and services, to facilitate the servicing of customer accounts. Under these arrangements, third-party vendors require access to certain customer data for the purpose of servicing the accounts.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also utilize certain information provided by third parties to facilitate the marketing, distribution, servicing and collection of loans. A cyber-attack suffered by a third party that provides data to us could impact our ability to market, distribute, service or collect for borrowers or investors. For example, Equifax announced a significant cyber breach that impacted millions of consumers. We utilize certain information from Equifax to allow us to market our products through pre-screened offers to qualified borrowers. If a consumer elects to “freeze” their credit data, we would not be able to access their information to make these pre-screened offers. Further, as a result of the release of personal information from a third-party platform, we could experience an increase in fraudulent loan applications or investor accounts. Under our policies, we reimburse investors for any loan obtained as a result of a verified identity fraud and any increase in identity theft could result in increased reimbursement costs.</w:t>
      </w:r>
    </w:p>
    <w:p>
      <w:pPr>
        <w:spacing w:after="0" w:line="20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collection, processing, storage, use, and disclosure of personal information could give rise to liabilities as a result of governmental regulation, conflicting legal requirements or differing views of personal privacy rights.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We receive, transmit, store and process a large volume of personal information and other user data, and as our products and services are mobile and internet-based, the amount of data we store for our customers has been increasing and will continue to increase. There are federal, state and foreign laws regarding privacy and the storing,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0"/>
          <w:szCs w:val="20"/>
          <w:color w:val="auto"/>
        </w:rPr>
        <w:t>sharing, use, disclosure, protection and other processing of personal information and other user data. Specifically, personal information is increasingly subject to legislation and regulations in numerous U.S. and international jurisdictions, the intent of which is to protect the privacy of personal information that is collected, processed and transmitted in or from the governing jurisdiction.</w:t>
      </w:r>
    </w:p>
    <w:p>
      <w:pPr>
        <w:spacing w:after="0" w:line="20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Governments, regulators, the plaintiffs’ bar, privacy advocates and customers have increased their focus on how companies collect, process, use, store, share and transmit personal information. This regulatory framework for privacy issues worldwide is evolving and is likely to continue to evolve for the foreseeable future, which creates uncertainty. For example, California adopted the California Consumer Privacy Act (CCPA), which was modified by the California Privacy Rights Act (CPRA). The CCPA and CPRA, among other things, gives California residents expanded rights to access and delete their personal information, opt out of certain personal information sharing, and receive detailed information about how certain personal information is used and shared. The CCPA provides for civil penalties for violations, as well as a private right of action for certain data breaches, which is expected to increase the volume, cost and success of class action data breach litigation. The CPRA also established the California Privacy Protection Agency to implement and enforce the CCPA and CPRA, as well as to impose administrative fines. The full impact of this law and its corresponding regulations, future enforcement activity and potential liability is unknown. Some observers have noted that the CCPA could mark the beginning of a trend toward more stringent privacy legislation in the U.S., and multiple states have enacted or proposed similar laws. There is also discussion in Congress of new comprehensive federal data protection and privacy laws which we likely would be subject to if enacted. Additionally, the CFPB issued a final rule to implement Section 1033 of the Dodd-Frank Act (the Open Banking Rule) on “open banking” and protection of personal financial data rights that would give consumers certain rights regarding the use and transfer of their personal financial data. However, under the current presidential administration, the CFPB has begun new rulemaking to reconsider and revise the Open Banking Rule.</w:t>
      </w:r>
    </w:p>
    <w:p>
      <w:pPr>
        <w:spacing w:after="0" w:line="22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We cannot yet predict the full impact of the CCPA, CPRA, Open Banking Rule or any other proposed or enacted state, U.S. or international data privacy legislation on our business or operations, but such laws may restrict our ability to provide certain products and services or may require us to modify our data processing practices and policies and to incur substantial costs and expenses in an effort to comply. We could also be adversely affected if other legislation or regulations are expanded to require changes in business practices or privacy policies, or if governing jurisdictions interpret or implement their legislation or regulations in ways that negatively affect our business, financial condition and results of operations. Any actual or perceived failure to comply with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post on our website our privacy policies and practices concerning the collection, use, disclosure and processing of personal information. We also obtain consent from our borrowers to share personal information under certain conditions. We are subject to the terms of our privacy policies, privacy-related disclosures, and contractual and other privacy-related obligations to our customers and other third parties. Our failure, real or perceived, to comply with applicable privacy policies or federal, state or foreign laws and regulations or any compromise of security that results in the unauthorized release of personal information or other user data could damage our reputation, discourage potential borrowers or investors from using our marketplace bank or result in fines or proceedings brought against us or other third parties by governmental agencies, borrowers, investors or other third parties, one or all of which could materially and adversely affect our business, financial condition and results of operations. In addition to laws, regulations and other applicable common law rules regarding privacy, privacy advocacy groups, industry groups or other private parties may propose new and different privacy standards. We could also be subject to liability for the inappropriate use of information made available by us. Because the interpretation and application of privacy and data protection laws and privacy standards are still uncertain, it is possible that these laws or privacy standards may be interpreted and applied in a manner that is inconsistent with our practices. Any inability to adequately address privacy concerns, even if unfounded, or to comply with applicable privacy or data protection laws, regulations and privacy standards, could result in additional cost and liability for us, damage our reputation, inhibit use of our marketplace bank and harm our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Any failure to protect our own intellectual property rights could impair our brand, or subject us to claims for alleged infringement by third parties, which could harm our business.</w:t>
      </w:r>
    </w:p>
    <w:p>
      <w:pPr>
        <w:spacing w:after="0" w:line="1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rely on a combination of copyright, trade secret, trademark, patent and other rights, as well as confidentiality procedures and contractual provisions to protect our proprietary technology, underwriting and credit decisioning data, processes and other intellectual property. However, the steps we take to protect our intellectual property rights may be inadequate. Third parties may seek to challenge, invalidate or circumvent our copyright, trade secret, trademark, patent and other rights or applications for any of the foregoing. Further, as our business continues to expand we may increase our dependence on third parties to provide additional products and services. Third parties who are contractually obligated to protect our intellectual property may be the target of data breaches or may breach their obligations and disseminate, misappropriate or otherwise misuse our proprietary technology, underwriting and credit decisioning data, processes and other intellectual property. Additionally, our competitors, as well as a number of other entities and individuals, may own or claim to own intellectual property relating to our industry. From time to time, third parties may claim that we are infringing on their intellectual property rights, and we may be found to be infringing on such rights. We may, however, be unaware of the intellectual property rights that others may claim cover some or all of our technology or services. Additionally, the use of AI may complicate our ability to obtain intellectual property rights with respect to the AI generated content.</w:t>
      </w:r>
    </w:p>
    <w:p>
      <w:pPr>
        <w:spacing w:after="0" w:line="2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In order to protect our intellectual property rights, we may be required to spend significant resources. Litigation brought to protect and enforce our intellectual property rights could be costly, time-consuming and distracting to management and could result in the impairment or loss of intellectual property. In addition, any claims or litigation could cause us to incur significant expenses and, if successfully asserted against us, could require that we pay substantial damages or ongoing royalty payments, prevent us from offering our products or operating our platform or require that we comply with other unfavorable terms. Our failure to secure, protect and enforce our intellectual property rights could seriously adversely affect our brand and adversely impact our business.</w:t>
      </w:r>
    </w:p>
    <w:p>
      <w:pPr>
        <w:spacing w:after="0" w:line="215"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development and use of artificial intelligence presents risks and challenges that could adversely impact our business, financial condition and results of operations.</w:t>
      </w:r>
    </w:p>
    <w:p>
      <w:pPr>
        <w:spacing w:after="0" w:line="19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We are incorporating AI technology in certain business processes and we or our third-party service providers may develop or incorporate AI in additional business processes, products or services. The development and use of AI presents a number of risks and challenges. The legal and regulatory environment relating to AI is uncertain and rapidly evolving, with states proposing and adopting laws and regulations on the use of AI, which could require changes in our potential use and implementation of AI technology, limit our ability to integrate AI and increase our compliance costs and the risk of non-compliance. For example, the use of machine learning and AI can implicate potential fair lending issues, which may raise concerns for regulators or consumer advocacy groups and could result in litigation.</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are integrating AI into certain aspects of our business and may further integrate AI into our operations, technology, products and services in the future. AI models may produce output or take action that is inaccurate or incomplete, infringes on the intellectual property rights of others or is otherwise harmful. In addition, the complexity of AI models may make it challenging to understand why they generate particular outputs. There can be no assurance that any products or services that utilize AI will be successful nor is there any assurance that our use of AI will enhance our business or that the anticipated benefits of AI will materialize. For example, we may invest in AI instead of other technology solutions or replace certain employees or roles with AI solutions, and such AI investments or solutions may not provide the benefits we expect or may result in operational inefficiencies. Conversely, our investments in and use of AI may be insufficient and thereby potentially place us at a relative disadvantage to our competitors, including with respect to the attractiveness of our products and services to customers, our operating efficiency and/or our ability to innovate. An inability to effectively implement AI, either on an absolute or relative basis, may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negative public opinion of AI could impair the acceptance of AI solutions, and we could see reduced demand for our products and services or harm to our brand or reputation due to the use of AI in our operations. Further, while we have policies governing the use of AI by our employees, contractors and third-party service providers, we cannot guarantee that they will follow such policies when using AI or that such policies will protect us from potential liability relating to our adoption or use of AI technologies.</w:t>
      </w:r>
    </w:p>
    <w:p>
      <w:pPr>
        <w:spacing w:after="0" w:line="19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Further, adoption of AI is becoming, or is likely to become, increasingly widespread among competitors, analysts, media, governmental officials and offices, vendors and others. This adoption of AI may have the effect of heightening many of the other risks described in “</w:t>
      </w:r>
      <w:r>
        <w:rPr>
          <w:rFonts w:ascii="Times New Roman" w:cs="Times New Roman" w:eastAsia="Times New Roman" w:hAnsi="Times New Roman"/>
          <w:sz w:val="21"/>
          <w:szCs w:val="21"/>
          <w:i w:val="1"/>
          <w:iCs w:val="1"/>
          <w:color w:val="auto"/>
        </w:rPr>
        <w:t>Item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1A. Risk Factors</w:t>
      </w:r>
      <w:r>
        <w:rPr>
          <w:rFonts w:ascii="Times New Roman" w:cs="Times New Roman" w:eastAsia="Times New Roman" w:hAnsi="Times New Roman"/>
          <w:sz w:val="19"/>
          <w:szCs w:val="19"/>
          <w:color w:val="auto"/>
        </w:rPr>
        <w:t>” and elsewhere in our Annual Report, such as our ability to compete, cyber security related risks and the availability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content of research and reports by analysts. For example, others may use AI to increase the frequency, sophistication and severity of cybersecurity attacks against us or our third-party service providers, which could adversely impact our business and results of operations.</w:t>
      </w:r>
    </w:p>
    <w:p>
      <w:pPr>
        <w:spacing w:after="0" w:line="18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Some aspects of our platform include open-source software, and any failure to comply with the terms of one or more of these open-source licenses could negatively affect our business.</w:t>
      </w:r>
    </w:p>
    <w:p>
      <w:pPr>
        <w:spacing w:after="0" w:line="18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Aspects of our platform include software covered by open-source licenses, which may include, by way of example, GNU General Public License and the Apache License. Open-source license terms are often ambiguous, and there is little or no legal precedent governing the interpretation of many of the terms of certain of these licenses. Therefore, the potential impact of such terms on our business is somewhat unknown. If portions of our proprietary software are determined to be subject to an open-source license, we could be required to publicly release and grant royalty-free licenses under the affected portions of our proprietary source code, re-engineer all or a portion of our technologies or otherwise be limited in the licensing of our technologies, each of which could reduce or eliminate the value of our technologies and products. There can be no assurance that efforts we take to monitor the use of open-source software to avoid uses in a manner that would require us to disclose or grant licenses under our proprietary source code will be successful, and such use could inadvertently occur. This could harm our intellectual property position and have a material adverse effect on our business, results of operations, cash flow, and financial condition. In addition to risks related to license requirements, usage of open-source software can lead to greater risks than use of third-party commercial software, as open-source licensors generally do not provide warranties or controls on the origin of the software. Many of the risks associated with use of open-source software cannot be eliminated, and could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 AND ACCOUNTING</w:t>
      </w:r>
    </w:p>
    <w:p>
      <w:pPr>
        <w:spacing w:after="0" w:line="25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and our ability to use our deferred tax assets to offset future taxable income could have a material adverse effect on our business, financial condition and results of operations.</w:t>
      </w:r>
    </w:p>
    <w:p>
      <w:pPr>
        <w:spacing w:after="0" w:line="19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20"/>
          <w:szCs w:val="20"/>
          <w:color w:val="auto"/>
        </w:rPr>
        <w:t>We are subject to taxes in the United States under federal, state and local jurisdictions in which we operate. The governing tax laws and applicable tax rates vary by jurisdiction and are subject to interpretation and changes. We may be subject to examination by the tax authorities and such authorities may disagree with our tax positions, which could adversely affect our financial condition.</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Further, the amount of tax payable in a given financial statement period may be impacted by sudden or unforeseen changes in tax laws, changes in the mix and level of earnings by taxing jurisdictions, or changes to existing accounting rules or regulations. For example, the Tax Cuts and Jobs Act (the Tax Act) enacted on December 22, 2017, made broad and complex changes to the U.S. tax code and the Tax Act’s reduction of the federal corporate income tax rate from 35% to 21%.</w:t>
      </w:r>
    </w:p>
    <w:p>
      <w:pPr>
        <w:spacing w:after="0" w:line="19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20"/>
          <w:szCs w:val="20"/>
          <w:color w:val="auto"/>
        </w:rPr>
        <w:t>We assess the available positive and negative evidence to estimate if sufficient future taxable income will be generated to utilize certain deferred tax assets. On the basis of this evaluation, a valuation allowance has been recorded to recognize only deferred tax assets that are more likely than not to be realized.</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ability to accurately forecast net income (loss) is in part a function of our ability to use our net operating loss carryforwards (NOLs) and, more generally, forecast our tax liability. Among other things, our existing NOLs may be impaired under state law and therefore certain tax attributes as of December 31, 2025 may expire unutilized or underutilized, which could prevent us from offsetting future taxable income. Further, fluctuations in our tax obligations may differ materially from amounts recorded in our financial statements and could adversely affect our business, financial condition and results of operations in the periods for which such determination is made.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incurred net losses in the past and may incur net losses in the future.</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Although we expect to remain profitable for the year ending December 31, 2026, we have incurred net losses in the past. Our operating expenses may continue to be elevated as we resolve regulatory investigations and examinations, enhance our compliance and technology systems, continue the growth of our business, attract customers and partners, and further enhance and develop our products and services. These efforts may prove more expensive than we currently anticipate, and we may not succeed in increasing our revenue sufficiently to offset these higher expenses. We may incur additional losses in the future and may not maintain profitability on a quarterly or annual basis.</w:t>
      </w:r>
    </w:p>
    <w:p>
      <w:pPr>
        <w:spacing w:after="0" w:line="21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accounting standards change or if our estimates or assumptions relating to our critical accounting policies prove to be incorrect, our results of operations and financial condition could be adversely affected.</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Our financial statements are subject to the application of accounting principles generally accepted in the United States of America (GAAP). The application of GAAP is also subject to varying interpretations over time. We are required to adopt new or revised accounting standards or comply with revised interpretations that are issued from time to time by various parties, including accounting standard setters and those who interpret the standards, such as the FASB, the SEC, and bank regulatory authorities. Those changes are beyond our control but could adversely affect our results of operations and financial condition. See “</w:t>
      </w:r>
      <w:r>
        <w:rPr>
          <w:rFonts w:ascii="Times New Roman" w:cs="Times New Roman" w:eastAsia="Times New Roman" w:hAnsi="Times New Roman"/>
          <w:sz w:val="20"/>
          <w:szCs w:val="20"/>
          <w:i w:val="1"/>
          <w:iCs w:val="1"/>
          <w:color w:val="auto"/>
        </w:rPr>
        <w:t>Part II</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Item 8. Financial Statements and Supplementary Data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Notes to Consolidated Financial Statements – Note 1. Summary of Significant Accounting Policies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Adoption of New Accounting Standards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for information on new financial accounting standards issued by the FASB. Additionally, the preparation of our financial statements in conformity with GAAP requires estimates and assumptions that affect the amounts reported and disclosed in our financial statements. While we base our estimates and assumptions on historical experience and other assumptions that we believe to be reasonable under the circumstances, our results of operations may be adversely affected if our assumptions change or if actual circumstances differ from those in our assumptions.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has been and may continue to be volatile.</w:t>
      </w:r>
    </w:p>
    <w:p>
      <w:pPr>
        <w:spacing w:after="0" w:line="24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stock price has exhibited substantial volatility. Our stock price may continue to fluctuate in response to a number of events and factors, such as quarterly operating results; changes in our financial projections provided to the public or our failure to meet those projections; changes in the credit performance of our loans; the public’s reaction to our filings with the SEC, press releases, other public announcements; progress and resolution with respect to litigation and regulatory inquiries; our operation of LC Bank; significant transactions or acquisitions; new features, products or services offered by us or our competitors; changes in financial estimates and recommendations by securities analysts; media coverage of our business and financial performance; the operating and stock price performance of, or other developments involving, other companies that stockholders may deem comparable to us; trends in our industry; any significant change in our management; and general economic conditions.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the stock market in general, and the market prices for companies in our industry, have experienced volatility. These broad market and industry fluctuations may adversely affect the price of our stock, regardless of our operating performance. Price volatility over a given period may cause the price of any repurchase of our own stock to exceed the stock’s price at a given point in time. Volatility in our stock price also impacts the value of our</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equity compensation, which affects our ability to recruit and retain employees. In addition, some companies that have experienced volatility in the market price of their stock, including us, have been subject to securities class action litigation. We have been the target of this type of litigation and may continue to be a target in the future. Securities litigation against us could result in substantial costs and divert our management’s attention from other business concerns, which could harm our business.</w:t>
      </w:r>
    </w:p>
    <w:p>
      <w:pPr>
        <w:spacing w:after="0" w:line="19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Further, our stock could be the target of short sellers who may seek to drive down the price of shares they have sold short by disseminating negative reports or information about the Company. Such negative publicity may lead to additional public scrutiny or may cause further volatility in our stock price, a decline in the value of a stockholder’s investment in us or reputational harm.</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We also use equity-based compensation to recruit and retain our employees. In connection with vesting events for such equity compensation, we have a tax withholding obligation for our employees. We may use and in the past have used, the “sell-to-cover” method of tax withholding in connection with such vesting events, under which shares with a market value equivalent to the tax withholding obligation are sold in the market to cover the tax withholding liability. To the extent shares are sold in connection with any future vesting event, such sales volume may cause our stock price to fluctuate.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stock price decline could have a material adverse impact on stockholder confidence and employee retention.</w:t>
      </w:r>
    </w:p>
    <w:p>
      <w:pPr>
        <w:spacing w:after="0" w:line="25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or publish inaccurate or unfavorable research reports about our business, our stock price and trading volume could decline.</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Research and reports that securities or industry analysts publish about the Company or our business may be consumed by equity investors and influence their opinion of our business and/or investment in our common stock. For example, if one or more of the analysts who cover us downgrades our stock, our stock price may decline. Additionally, if one or more of these analysts cease coverage of the Company or fail to regularly publish reports on us, we could lose visibility in the financial markets, which could cause our stock price or trading volume to decline.</w:t>
      </w:r>
    </w:p>
    <w:p>
      <w:pPr>
        <w:spacing w:after="0" w:line="21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Future issuances and/or sales of common stock may result in significant dilution to our stockholders and may place downward pressure on our stock price.</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may issue additional equity securities to raise capital, support acquisitions, or for a variety of other purposes. We also utilize equity-based compensation as an important tool in recruiting and retaining employees and other service providers. Additional issuances of our stock may be made pursuant to the exercise or vesting of stock options or restricted stock units, respectively. Dilution to existing holders of our common stock from equity-based compensation and other additional issuances could be substantial and may place downward pressure on our stock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 and may not fully reflect the longer-term underlying performance of our business.</w:t>
      </w:r>
    </w:p>
    <w:p>
      <w:pPr>
        <w:spacing w:after="0" w:line="26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Our operating and financial results have varied on a quarterly basis during our operating history and may continue to fluctuate significantly. These fluctuations may be due to a variety of factors, some of which are outside of our control and may not fully reflect the underlying performance of our business. Factors that may cause fluctuations in our quarterly financial results include our ability to attract and retain new customers, seasonality in our business, the costs associated with and outcomes of legal and regulatory matters, volatility related to fraud and credit performance, the timing of capital markets transactions, variability in the valuation of loans held on our balance sheet, changes in business or macroeconomic conditions and a variety of other factors, including as a result of the risks set forth in this “Risk Factors” section. Fluctuation in quarterly results and how we perform relative to guidance may adversely affect the price of our common stock, and our quarterly financial results and historical trends may not be a reliable indicator of future performance, results or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may delay or prevent an acquisition of our company.</w:t>
      </w:r>
    </w:p>
    <w:p>
      <w:pPr>
        <w:spacing w:after="0" w:line="2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Our eighth amended and restated Certificate of Incorporation (Certificate of Incorporation), and our amended and restated Bylaws (Bylaws) contain provisions that can have the effect of delaying or preventing a change in control of us or changes in our management. The provisions, among other things:</w:t>
      </w:r>
    </w:p>
    <w:p>
      <w:pPr>
        <w:spacing w:after="0" w:line="6"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of directors are elected at one time;</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only our board of directors to establish the number of directors and fill vacancies on the board;</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53" w:lineRule="exact"/>
        <w:rPr>
          <w:rFonts w:ascii="Times New Roman" w:cs="Times New Roman" w:eastAsia="Times New Roman" w:hAnsi="Times New Roman"/>
          <w:sz w:val="20"/>
          <w:szCs w:val="20"/>
          <w:color w:val="auto"/>
        </w:rPr>
      </w:pPr>
    </w:p>
    <w:p>
      <w:pPr>
        <w:ind w:left="660" w:right="20" w:hanging="328"/>
        <w:spacing w:after="0" w:line="274"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two-thirds of all outstanding shares of our capital stock vote to amend some provisions in our Certificate of Incorporation and Bylaws;</w:t>
      </w:r>
    </w:p>
    <w:p>
      <w:pPr>
        <w:spacing w:after="0" w:line="1" w:lineRule="exact"/>
        <w:rPr>
          <w:rFonts w:ascii="Times New Roman" w:cs="Times New Roman" w:eastAsia="Times New Roman" w:hAnsi="Times New Roman"/>
          <w:sz w:val="20"/>
          <w:szCs w:val="20"/>
          <w:color w:val="auto"/>
        </w:rPr>
      </w:pPr>
    </w:p>
    <w:p>
      <w:pPr>
        <w:ind w:left="660" w:right="180" w:hanging="328"/>
        <w:spacing w:after="0" w:line="281"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preferred stock that our board of directors could use to implement a stockholder rights plan (also known as a “poison pill”);</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which requires that all stockholder actions must be taken at a stockholder meeting;</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provide for cumulative voting; and</w:t>
      </w:r>
    </w:p>
    <w:p>
      <w:pPr>
        <w:spacing w:after="0" w:line="5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annual stockholder meetings.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 In addition to these provisions, banking laws impose notice, approval, and ongoing regulatory requirements on any stockholder or other party that seeks to acquire direct or indirect “control” of an FDIC-insured depository institution and bank holding company. These laws include the BHCA and the Change in Bank Control Act. These laws could delay or prevent an acquisition. See “</w:t>
      </w:r>
      <w:r>
        <w:rPr>
          <w:rFonts w:ascii="Times New Roman" w:cs="Times New Roman" w:eastAsia="Times New Roman" w:hAnsi="Times New Roman"/>
          <w:sz w:val="20"/>
          <w:szCs w:val="20"/>
          <w:i w:val="1"/>
          <w:iCs w:val="1"/>
          <w:color w:val="auto"/>
        </w:rPr>
        <w:t>Item 1. Business – Regulation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Supervision – Acquisition of a Significant Interest in the Company</w:t>
      </w:r>
      <w:r>
        <w:rPr>
          <w:rFonts w:ascii="Times New Roman" w:cs="Times New Roman" w:eastAsia="Times New Roman" w:hAnsi="Times New Roman"/>
          <w:sz w:val="20"/>
          <w:szCs w:val="20"/>
          <w:color w:val="auto"/>
        </w:rPr>
        <w:t>” for additional information.</w:t>
      </w:r>
    </w:p>
    <w:p>
      <w:pPr>
        <w:spacing w:after="0" w:line="20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our share repurchase and acquisition program will be fully used or that it will enhance long-term stockholder value.</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November 2025, our board of directors approved a program to repurchase and acquire up to $100 million shares of our common stock through December 31, 2026 (the Repurchase and Acquisition Program). The timing, amount and methodology of shares acquired through the Repurchase and Acquisition Program are discretionary and will depend on our stock price, business and market conditions, and other factors, and we cannot provide any assurance that we will acquire shares of our common stock in any amounts or at all or that such acquisitions will enhance long-term stockholder value. The Repurchase and Acquisition Program could affect our stock price, increase volatility and reduce our cash available for operations and other strategic opportunities. Additionally, the failure to fully utilize or renew, suspension of and/or termination of our Repurchase and Acquisition Program could have a negative effect on our stock price.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24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color w:val="auto"/>
        </w:rPr>
        <w:t>We currently intend to retain any future earnings to finance the operation and expansion of our business, and we do not expect to declare or pay any dividends in the foreseeable future. As a result, a stockholder may only receive a return on their investment in our common stock if the trading price of our common stock increases.</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Also, as a bank holding company, our ability to pay dividends is affected by the policies and enforcement powers of the FRB and any future payment of dividends will depend on LC Bank’s ability to make distributions and payments to the Company as our principal source of funds to pay such dividends. LC Bank is also subject to various legal,</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regulatory and other restrictions on its ability to make distributions and payments to the Company. In addition, in the future, we may enter into borrowing or other contractual arrangements that restrict our ability to pay dividends. As a consequence of these various limitations and restrictions, we may not be able to pay dividends on our common stock. See “</w:t>
      </w:r>
      <w:r>
        <w:rPr>
          <w:rFonts w:ascii="Times New Roman" w:cs="Times New Roman" w:eastAsia="Times New Roman" w:hAnsi="Times New Roman"/>
          <w:sz w:val="20"/>
          <w:szCs w:val="20"/>
          <w:i w:val="1"/>
          <w:iCs w:val="1"/>
          <w:color w:val="auto"/>
        </w:rPr>
        <w:t>Item 1. Business – Regulation and Supervision –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Limits on Dividends and Distributions</w:t>
      </w:r>
      <w:r>
        <w:rPr>
          <w:rFonts w:ascii="Times New Roman" w:cs="Times New Roman" w:eastAsia="Times New Roman" w:hAnsi="Times New Roman"/>
          <w:sz w:val="20"/>
          <w:szCs w:val="20"/>
          <w:color w:val="auto"/>
        </w:rPr>
        <w:t>”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Cybersecurity represents a critical component of our overall approach to risk management. Accordingly, cybersecurity risks are subject to oversight by the Company’s Board of Directors (the Board), primary responsibility for which has been delegated by the Board to its Operational Risk Committee (the Board Operational Risk Committee).</w:t>
      </w:r>
    </w:p>
    <w:p>
      <w:pPr>
        <w:spacing w:after="0" w:line="20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Our cybersecurity policies, processes and practices are informed by the cybersecurity framework established by the National Institute of Standards and Technology. We are able to leverage a cross-functional team that includes senior personnel from our technology, operations, legal, risk management and internal audit functions as and when warranted by the particular cybersecurity matter. In managing cybersecurity risks, we strive to: (i) identify, prevent and mitigate cybersecurity threats; (ii) preserve the confidentiality, security and availability of proprietary or confidential information; (iii) protect the Company’s intellectual property; (iv) maintain the confidence of our members, marketplace investors and business partners; and (v) provide appropriate and required disclosure of cybersecurity risks and incidents.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24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20"/>
          <w:szCs w:val="20"/>
          <w:color w:val="auto"/>
        </w:rPr>
        <w:t>Our processes for assessing, identifying, and managing material risks from cybersecurity threats are fully integrated into our enterprise risk management (ERM) program and include the following areas of focus:</w:t>
      </w:r>
    </w:p>
    <w:p>
      <w:pPr>
        <w:spacing w:after="0" w:line="1" w:lineRule="exact"/>
        <w:rPr>
          <w:sz w:val="20"/>
          <w:szCs w:val="20"/>
          <w:color w:val="auto"/>
        </w:rPr>
      </w:pPr>
    </w:p>
    <w:p>
      <w:pPr>
        <w:ind w:left="660" w:right="280" w:hanging="328"/>
        <w:spacing w:after="0" w:line="274"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Systems Safeguards: </w:t>
      </w:r>
      <w:r>
        <w:rPr>
          <w:rFonts w:ascii="Times New Roman" w:cs="Times New Roman" w:eastAsia="Times New Roman" w:hAnsi="Times New Roman"/>
          <w:sz w:val="20"/>
          <w:szCs w:val="20"/>
          <w:color w:val="auto"/>
        </w:rPr>
        <w:t>Preventing and mitigating cybersecurity threats, including through the use of firewalls, intrusion prevention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detection systems, anti-malware software, access controls and other system safeguards.</w:t>
      </w:r>
    </w:p>
    <w:p>
      <w:pPr>
        <w:spacing w:after="0" w:line="1" w:lineRule="exact"/>
        <w:rPr>
          <w:rFonts w:ascii="Times New Roman" w:cs="Times New Roman" w:eastAsia="Times New Roman" w:hAnsi="Times New Roman"/>
          <w:sz w:val="20"/>
          <w:szCs w:val="20"/>
          <w:color w:val="auto"/>
        </w:rPr>
      </w:pPr>
    </w:p>
    <w:p>
      <w:pPr>
        <w:ind w:left="660" w:right="500" w:hanging="328"/>
        <w:spacing w:after="0" w:line="281"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Incident Response: </w:t>
      </w:r>
      <w:r>
        <w:rPr>
          <w:rFonts w:ascii="Times New Roman" w:cs="Times New Roman" w:eastAsia="Times New Roman" w:hAnsi="Times New Roman"/>
          <w:sz w:val="20"/>
          <w:szCs w:val="20"/>
          <w:color w:val="auto"/>
        </w:rPr>
        <w:t>Identifying and responding to cybersecurity incidents in accordance with our information security incident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response plan.</w:t>
      </w:r>
    </w:p>
    <w:p>
      <w:pPr>
        <w:spacing w:after="0" w:line="1" w:lineRule="exact"/>
        <w:rPr>
          <w:rFonts w:ascii="Times New Roman" w:cs="Times New Roman" w:eastAsia="Times New Roman" w:hAnsi="Times New Roman"/>
          <w:sz w:val="20"/>
          <w:szCs w:val="20"/>
          <w:color w:val="auto"/>
        </w:rPr>
      </w:pPr>
    </w:p>
    <w:p>
      <w:pPr>
        <w:ind w:left="660" w:right="600" w:hanging="328"/>
        <w:spacing w:after="0" w:line="27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Collaboration: </w:t>
      </w:r>
      <w:r>
        <w:rPr>
          <w:rFonts w:ascii="Times New Roman" w:cs="Times New Roman" w:eastAsia="Times New Roman" w:hAnsi="Times New Roman"/>
          <w:sz w:val="20"/>
          <w:szCs w:val="20"/>
          <w:color w:val="auto"/>
        </w:rPr>
        <w:t>Collaborating internally and with public and private entities, including intelligence and enforcement agencies,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industry groups and third-party service providers, to identify, assess and respond to cybersecurity risks.</w:t>
      </w:r>
    </w:p>
    <w:p>
      <w:pPr>
        <w:spacing w:after="0" w:line="3" w:lineRule="exact"/>
        <w:rPr>
          <w:rFonts w:ascii="Times New Roman" w:cs="Times New Roman" w:eastAsia="Times New Roman" w:hAnsi="Times New Roman"/>
          <w:sz w:val="20"/>
          <w:szCs w:val="20"/>
          <w:color w:val="auto"/>
        </w:rPr>
      </w:pPr>
    </w:p>
    <w:p>
      <w:pPr>
        <w:ind w:left="660" w:right="340" w:hanging="328"/>
        <w:spacing w:after="0" w:line="27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Third-Party Risk Management: </w:t>
      </w:r>
      <w:r>
        <w:rPr>
          <w:rFonts w:ascii="Times New Roman" w:cs="Times New Roman" w:eastAsia="Times New Roman" w:hAnsi="Times New Roman"/>
          <w:sz w:val="20"/>
          <w:szCs w:val="20"/>
          <w:color w:val="auto"/>
        </w:rPr>
        <w:t>Maintaining a comprehensive, risk-based approach to identifying and overseeing cybersecurity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risks presented by third parties, including vendors, service providers and other external users of our systems.</w:t>
      </w:r>
    </w:p>
    <w:p>
      <w:pPr>
        <w:spacing w:after="0" w:line="3" w:lineRule="exact"/>
        <w:rPr>
          <w:rFonts w:ascii="Times New Roman" w:cs="Times New Roman" w:eastAsia="Times New Roman" w:hAnsi="Times New Roman"/>
          <w:sz w:val="20"/>
          <w:szCs w:val="20"/>
          <w:color w:val="auto"/>
        </w:rPr>
      </w:pPr>
    </w:p>
    <w:p>
      <w:pPr>
        <w:ind w:left="660" w:right="200" w:hanging="328"/>
        <w:spacing w:after="0" w:line="274"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Training: </w:t>
      </w:r>
      <w:r>
        <w:rPr>
          <w:rFonts w:ascii="Times New Roman" w:cs="Times New Roman" w:eastAsia="Times New Roman" w:hAnsi="Times New Roman"/>
          <w:sz w:val="20"/>
          <w:szCs w:val="20"/>
          <w:color w:val="auto"/>
        </w:rPr>
        <w:t>Reinforcing our information security policies, processes and practices through periodic mandatory training for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personnel.</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Governance: </w:t>
      </w:r>
      <w:r>
        <w:rPr>
          <w:rFonts w:ascii="Times New Roman" w:cs="Times New Roman" w:eastAsia="Times New Roman" w:hAnsi="Times New Roman"/>
          <w:sz w:val="20"/>
          <w:szCs w:val="20"/>
          <w:color w:val="auto"/>
        </w:rPr>
        <w:t>Designing a comprehensive framework for the oversight of cybersecurity risk, with regular interaction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Operational Risk Committee and the Company’s ERM function, our Chief Information Security Officer (CISO) and members of Company management and relevant management committees, including the Company’s Management Operational Risk Committee (the Management Operational Risk Committee).</w:t>
      </w:r>
    </w:p>
    <w:p>
      <w:pPr>
        <w:spacing w:after="0" w:line="20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A key part of our strategy for managing risks from cybersecurity threats is the assessment and testing of our processes and practices through auditing, assessments, tabletop exercises, threat modeling, vulnerability scanning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and other exercises focused on evaluating the effectiveness of our cybersecurity measures. We engage third parties to perform assessments on our cybersecurity measures, including information security penetration tests, audits and independent reviews of our information security control environment and operating effectiveness. The results of such assessments, audits and reviews are reported to the Board Operational Risk Committee and are used to adjust our cybersecurity policies, standards, processes and practices, as necessary.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26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Board Operational Risk Committee oversees the management of risks from cybersecurity threats, including policies, processes and practices implemented by Company management to address such risks. The Board Operational Risk Committee receives presentations and reports on cybersecurity risks and information regarding any cybersecurity incident that meets established reporting thresholds, as well as ongoing updates until such incident has been addressed. At least once each year, the Board Operational Risk Committee discusses the Company’s approach to cybersecurity risk management with our CISO. Further, the Board periodically, as warranted, receives reports with respect to and engages in discussions with Company management on cybersecurity matters.</w:t>
      </w:r>
    </w:p>
    <w:p>
      <w:pPr>
        <w:spacing w:after="0" w:line="2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Our CISO is principally responsible for overseeing our cybersecurity risk management program, in partnership with other senior personnel across the Company. Our CISO works in coordination with the other members of the Company’s Management Operational Risk Committee, which includes our Chief Executive Officer, Chief Financial Officer, Chief Technology Officer, Chief Risk Officer and General Counsel. Our CISO has served in that role for over 5 years and in various roles in information technology and information security for over 20 years. Our CISO holds an undergraduate degree in computer information systems and has attained the professional certification of Certified Information Systems Security Professional. The other members of the Management Operational Risk Committee each have relevant qualifications and over 10 years of experience managing risk in the technology and/or financial services industry.</w:t>
      </w:r>
    </w:p>
    <w:p>
      <w:pPr>
        <w:spacing w:after="0" w:line="22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Our CISO, in coordination with the Management Operational Risk Committee, works collaboratively across the Company to implement a program designed to protect our information systems from cybersecurity threats and to promptly respond to any cybersecurity incidents. To facilitate the success of this program, cross-functional teams are deployed to address cybersecurity threats and to respond to cybersecurity incidents in accordance with our information security incident response plan. Our CISO, through his team and use of accompanying technology, monitors the prevention, detection, mitigation and remediation of cybersecurity incidents, and report such incidents to the Management Operational Risk Committee and/or the Board Operational Risk Committee, as and when appropriate.</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2025, we did not identify any cybersecurity threats that have materially affected or are reasonably likely to materially affect our business strategy, results of operations, or financial condition. However, we cannot eliminate all risks from cybersecurity threats or provide assurances that we have not experienced undetected cybersecurity incidents of a material nature. For additional information about the risks from cybersecurity threats, see “</w:t>
      </w:r>
      <w:r>
        <w:rPr>
          <w:rFonts w:ascii="Times New Roman" w:cs="Times New Roman" w:eastAsia="Times New Roman" w:hAnsi="Times New Roman"/>
          <w:sz w:val="20"/>
          <w:szCs w:val="20"/>
          <w:i w:val="1"/>
          <w:iCs w:val="1"/>
          <w:color w:val="auto"/>
        </w:rPr>
        <w:t>Item 1A. Risk Factors</w:t>
      </w:r>
      <w:r>
        <w:rPr>
          <w:rFonts w:ascii="Times New Roman" w:cs="Times New Roman" w:eastAsia="Times New Roman" w:hAnsi="Times New Roman"/>
          <w:sz w:val="20"/>
          <w:szCs w:val="20"/>
          <w:color w:val="auto"/>
        </w:rPr>
        <w:t>” in this Annual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In April 2025, we acquired a 233,887 square foot office building located in San Francisco, California. Approximately 100,000 square feet will be used as our headquarters beginning in the second quarter of 2026, following the expiration of our current San Francisco headquarters office lease. In addition to our headquarters, we lease office space in other parts of the United States, including in the Salt Lake City, Utah area, expiring in 2029, as well as in Boston, Massachusetts and New York, New York, both expiring in 2028. These leases total approximately 140,000 square feet. We believe our current leased properties are adequate for our immediate business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For more information regarding our leases, see “</w:t>
      </w:r>
      <w:r>
        <w:rPr>
          <w:rFonts w:ascii="Times New Roman" w:cs="Times New Roman" w:eastAsia="Times New Roman" w:hAnsi="Times New Roman"/>
          <w:sz w:val="20"/>
          <w:szCs w:val="20"/>
          <w:i w:val="1"/>
          <w:iCs w:val="1"/>
          <w:color w:val="auto"/>
        </w:rPr>
        <w:t>Part II – Item 8. Financial Statements and Supplementary Data – Notes to Consolidated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Statements – Note 17. Leases</w:t>
      </w:r>
      <w:r>
        <w:rPr>
          <w:rFonts w:ascii="Times New Roman" w:cs="Times New Roman" w:eastAsia="Times New Roman" w:hAnsi="Times New Roman"/>
          <w:sz w:val="20"/>
          <w:szCs w:val="20"/>
          <w:color w:val="auto"/>
        </w:rPr>
        <w:t>”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6"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color w:val="auto"/>
        </w:rPr>
        <w:t>The information set forth under “</w:t>
      </w:r>
      <w:r>
        <w:rPr>
          <w:rFonts w:ascii="Times New Roman" w:cs="Times New Roman" w:eastAsia="Times New Roman" w:hAnsi="Times New Roman"/>
          <w:sz w:val="20"/>
          <w:szCs w:val="20"/>
          <w:i w:val="1"/>
          <w:iCs w:val="1"/>
          <w:color w:val="auto"/>
        </w:rPr>
        <w:t>Part II – Item 8. Financial Statements and Supplementary Data – Notes to Consolidated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Statements – Note 18. Commitments and Contingencies</w:t>
      </w:r>
      <w:r>
        <w:rPr>
          <w:rFonts w:ascii="Times New Roman" w:cs="Times New Roman" w:eastAsia="Times New Roman" w:hAnsi="Times New Roman"/>
          <w:sz w:val="20"/>
          <w:szCs w:val="20"/>
          <w:color w:val="auto"/>
        </w:rPr>
        <w:t>” of this Annual Report is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4" w:right="7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6" w:lineRule="exact"/>
        <w:rPr>
          <w:sz w:val="20"/>
          <w:szCs w:val="20"/>
          <w:color w:val="auto"/>
        </w:rPr>
      </w:pPr>
    </w:p>
    <w:p>
      <w:pPr>
        <w:ind w:right="1040"/>
        <w:spacing w:after="0" w:line="502"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 for Common Stock</w:t>
      </w:r>
    </w:p>
    <w:p>
      <w:pPr>
        <w:spacing w:after="0"/>
        <w:rPr>
          <w:sz w:val="20"/>
          <w:szCs w:val="20"/>
          <w:color w:val="auto"/>
        </w:rPr>
      </w:pPr>
      <w:r>
        <w:rPr>
          <w:rFonts w:ascii="Times New Roman" w:cs="Times New Roman" w:eastAsia="Times New Roman" w:hAnsi="Times New Roman"/>
          <w:sz w:val="20"/>
          <w:szCs w:val="20"/>
          <w:color w:val="auto"/>
        </w:rPr>
        <w:t>LendingClub’s common stock is listed on the New York Stock Exchange (NYSE) under the ticker symbol “LC.”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As of January 30, 2026, there were 32 holders of record of LendingClub’s common stock. Because many of LendingClub’s shares of common stock are held by brokers and other institutions on behalf of stockholders, we are unable to estimate the total number of stockholders represented by these record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We have not paid cash or other dividends since our inception and do not anticipate paying cash or other dividends in the foreseeable future. Further, see “</w:t>
      </w:r>
      <w:r>
        <w:rPr>
          <w:rFonts w:ascii="Times New Roman" w:cs="Times New Roman" w:eastAsia="Times New Roman" w:hAnsi="Times New Roman"/>
          <w:sz w:val="20"/>
          <w:szCs w:val="20"/>
          <w:i w:val="1"/>
          <w:iCs w:val="1"/>
          <w:color w:val="auto"/>
        </w:rPr>
        <w:t>Part I – Item 1. Business – Regulation and Supervision – Regulatory Limits on Dividends and Distributions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“Item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Statements and Supplementary Data – Notes to Consolidated Financial Statements – Note 19. Regulatory Requirements</w:t>
      </w:r>
      <w:r>
        <w:rPr>
          <w:rFonts w:ascii="Times New Roman" w:cs="Times New Roman" w:eastAsia="Times New Roman" w:hAnsi="Times New Roman"/>
          <w:sz w:val="20"/>
          <w:szCs w:val="20"/>
          <w:color w:val="auto"/>
        </w:rPr>
        <w:t>” for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summary of certain rules and regulations that limit the ability of the Company or LC Bank to pay dividends.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Unregistered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On November 4, 2025, our Board of Directors approved a program to repurchase and acquire up to $100 million of our common stock through December 31, 2026 (the Repurchase and Acquisition Program). The Repurchase and Acquisition Program is inclusive of the anticipated fair market value of shares of our common stock acquired by holding back a portion of vesting restricted stock units held by our employees to satisfy applicable tax withholding obligations. The timing, amount and methodology of shares acquired through the Repurchase and Acquisition Program are discretionary and will depend on our stock price, business and market conditions, and other factors.</w:t>
      </w:r>
    </w:p>
    <w:p>
      <w:pPr>
        <w:spacing w:after="0" w:line="20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on LendingClub’s share repurchase activity for the fourth quarter of 2025 (dollars 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 Number of</w:t>
            </w:r>
          </w:p>
        </w:tc>
        <w:tc>
          <w:tcPr>
            <w:tcW w:w="1880" w:type="dxa"/>
            <w:vAlign w:val="bottom"/>
            <w:tcBorders>
              <w:top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Approximate Dollar</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Value of Shares that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9"/>
              </w:rPr>
              <w:t>Shares Purchased as</w:t>
            </w:r>
          </w:p>
        </w:tc>
        <w:tc>
          <w:tcPr>
            <w:tcW w:w="1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40" w:type="dxa"/>
            <w:vAlign w:val="bottom"/>
            <w:vMerge w:val="restart"/>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Part of Publicly</w:t>
            </w:r>
          </w:p>
        </w:tc>
        <w:tc>
          <w:tcPr>
            <w:tcW w:w="200" w:type="dxa"/>
            <w:vAlign w:val="bottom"/>
          </w:tcPr>
          <w:p>
            <w:pPr>
              <w:spacing w:after="0"/>
              <w:rPr>
                <w:sz w:val="11"/>
                <w:szCs w:val="11"/>
                <w:color w:val="auto"/>
              </w:rPr>
            </w:pPr>
          </w:p>
        </w:tc>
        <w:tc>
          <w:tcPr>
            <w:tcW w:w="1680" w:type="dxa"/>
            <w:vAlign w:val="bottom"/>
          </w:tcPr>
          <w:p>
            <w:pPr>
              <w:jc w:val="center"/>
              <w:ind w:right="47"/>
              <w:spacing w:after="0" w:line="136" w:lineRule="exact"/>
              <w:rPr>
                <w:sz w:val="20"/>
                <w:szCs w:val="20"/>
                <w:color w:val="auto"/>
              </w:rPr>
            </w:pPr>
            <w:r>
              <w:rPr>
                <w:rFonts w:ascii="Times New Roman" w:cs="Times New Roman" w:eastAsia="Times New Roman" w:hAnsi="Times New Roman"/>
                <w:sz w:val="15"/>
                <w:szCs w:val="15"/>
                <w:b w:val="1"/>
                <w:bCs w:val="1"/>
                <w:color w:val="auto"/>
              </w:rPr>
              <w:t>May Yet Be</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22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180" w:type="dxa"/>
            <w:vAlign w:val="bottom"/>
          </w:tcPr>
          <w:p>
            <w:pPr>
              <w:spacing w:after="0"/>
              <w:rPr>
                <w:sz w:val="5"/>
                <w:szCs w:val="5"/>
                <w:color w:val="auto"/>
              </w:rPr>
            </w:pPr>
          </w:p>
        </w:tc>
        <w:tc>
          <w:tcPr>
            <w:tcW w:w="134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6"/>
              </w:rPr>
              <w:t>Average Price</w:t>
            </w:r>
          </w:p>
        </w:tc>
        <w:tc>
          <w:tcPr>
            <w:tcW w:w="1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80" w:type="dxa"/>
            <w:vAlign w:val="bottom"/>
            <w:vMerge w:val="restart"/>
          </w:tcPr>
          <w:p>
            <w:pPr>
              <w:jc w:val="center"/>
              <w:ind w:right="67"/>
              <w:spacing w:after="0"/>
              <w:rPr>
                <w:sz w:val="20"/>
                <w:szCs w:val="20"/>
                <w:color w:val="auto"/>
              </w:rPr>
            </w:pPr>
            <w:r>
              <w:rPr>
                <w:rFonts w:ascii="Times New Roman" w:cs="Times New Roman" w:eastAsia="Times New Roman" w:hAnsi="Times New Roman"/>
                <w:sz w:val="20"/>
                <w:szCs w:val="20"/>
                <w:b w:val="1"/>
                <w:bCs w:val="1"/>
                <w:color w:val="auto"/>
                <w:w w:val="99"/>
              </w:rPr>
              <w:t>Purchased Under</w:t>
            </w:r>
          </w:p>
        </w:tc>
        <w:tc>
          <w:tcPr>
            <w:tcW w:w="0" w:type="dxa"/>
            <w:vAlign w:val="bottom"/>
          </w:tcPr>
          <w:p>
            <w:pPr>
              <w:spacing w:after="0"/>
              <w:rPr>
                <w:sz w:val="1"/>
                <w:szCs w:val="1"/>
                <w:color w:val="auto"/>
              </w:rPr>
            </w:pPr>
          </w:p>
        </w:tc>
      </w:tr>
      <w:tr>
        <w:trPr>
          <w:trHeight w:val="20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9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Announced Program</w:t>
            </w:r>
          </w:p>
        </w:tc>
        <w:tc>
          <w:tcPr>
            <w:tcW w:w="2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b w:val="1"/>
                <w:bCs w:val="1"/>
                <w:color w:val="auto"/>
              </w:rPr>
              <w:t>Shares Purchased</w:t>
            </w:r>
          </w:p>
        </w:tc>
        <w:tc>
          <w:tcPr>
            <w:tcW w:w="1520" w:type="dxa"/>
            <w:vAlign w:val="bottom"/>
            <w:tcBorders>
              <w:bottom w:val="single" w:sz="8" w:color="auto"/>
            </w:tcBorders>
            <w:gridSpan w:val="2"/>
          </w:tcPr>
          <w:p>
            <w:pPr>
              <w:jc w:val="right"/>
              <w:ind w:right="21"/>
              <w:spacing w:after="0" w:line="189" w:lineRule="exact"/>
              <w:rPr>
                <w:sz w:val="20"/>
                <w:szCs w:val="20"/>
                <w:color w:val="auto"/>
              </w:rPr>
            </w:pPr>
            <w:r>
              <w:rPr>
                <w:rFonts w:ascii="Times New Roman" w:cs="Times New Roman" w:eastAsia="Times New Roman" w:hAnsi="Times New Roman"/>
                <w:sz w:val="20"/>
                <w:szCs w:val="20"/>
                <w:b w:val="1"/>
                <w:bCs w:val="1"/>
                <w:color w:val="auto"/>
              </w:rPr>
              <w:t>Paid 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7"/>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the Program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5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October 1 – October 31, 2025</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3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1 – November 30, 2025</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234,685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17.33</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234,685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0" w:type="dxa"/>
            <w:vAlign w:val="bottom"/>
          </w:tcPr>
          <w:p>
            <w:pPr>
              <w:spacing w:after="0"/>
              <w:rPr>
                <w:sz w:val="1"/>
                <w:szCs w:val="1"/>
                <w:color w:val="auto"/>
              </w:rPr>
            </w:pPr>
          </w:p>
        </w:tc>
      </w:tr>
      <w:tr>
        <w:trPr>
          <w:trHeight w:val="257"/>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December 1 – December 31, 2025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154,939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19.70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154,939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389,624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18.27</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389,624</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32"/>
        <w:spacing w:after="0" w:line="239" w:lineRule="auto"/>
        <w:tabs>
          <w:tab w:leader="none" w:pos="364"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November 2025, we utilized $4.8 million to hold back 287,088 shares of our common stock at an average per share price of $16.80 to satisfy applicable tax withholding obligations in connection with the vesting of restricted units held by our employees (the Q4 Holdback). Inclusive of the Q4 Holdback and as of December 31, 2025, we have utilized a total of $11.9 million of the $100 million authorization under the Repurchase and Acquisition Program to acquire a total of 676,712 shares of our common stock at an average per share price of $17.65.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5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LendingClub under the Securities Act, or the Exchange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graph and table compare the cumulative total return to stockholders of LendingClub’s common stock relative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cumulative total returns of the KBW Nasdaq Bank Index and Standard &amp; Poor’s 500 Index. An investment of $100 (with reinvestment of all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when applicable) is assumed to have been made in LendingClub’s common stock and in each index at market close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2020 and its relative performance is tracked through December 31, 2025. The returns shown are based on historical results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863590" cy="4003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3590"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25"/>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25"/>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25"/>
              <w:spacing w:after="0" w:line="189"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25"/>
              <w:spacing w:after="0" w:line="189"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45"/>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25"/>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20"/>
                <w:szCs w:val="20"/>
                <w:color w:val="auto"/>
              </w:rPr>
              <w:t>LendingClub</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228.98</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83.33</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82.77</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153.31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179.36</w:t>
            </w:r>
          </w:p>
        </w:tc>
        <w:tc>
          <w:tcPr>
            <w:tcW w:w="0" w:type="dxa"/>
            <w:vAlign w:val="bottom"/>
          </w:tcPr>
          <w:p>
            <w:pPr>
              <w:spacing w:after="0"/>
              <w:rPr>
                <w:sz w:val="1"/>
                <w:szCs w:val="1"/>
                <w:color w:val="auto"/>
              </w:rPr>
            </w:pPr>
          </w:p>
        </w:tc>
      </w:tr>
      <w:tr>
        <w:trPr>
          <w:trHeight w:val="252"/>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Corporation</w:t>
            </w:r>
          </w:p>
        </w:tc>
        <w:tc>
          <w:tcPr>
            <w:tcW w:w="20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90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KBW Nasdaq Bank</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135.04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103.00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98.07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130.19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167.68</w:t>
            </w:r>
          </w:p>
        </w:tc>
        <w:tc>
          <w:tcPr>
            <w:tcW w:w="0" w:type="dxa"/>
            <w:vAlign w:val="bottom"/>
          </w:tcPr>
          <w:p>
            <w:pPr>
              <w:spacing w:after="0"/>
              <w:rPr>
                <w:sz w:val="1"/>
                <w:szCs w:val="1"/>
                <w:color w:val="auto"/>
              </w:rPr>
            </w:pPr>
          </w:p>
        </w:tc>
      </w:tr>
      <w:tr>
        <w:trPr>
          <w:trHeight w:val="252"/>
        </w:trPr>
        <w:tc>
          <w:tcPr>
            <w:tcW w:w="1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Index</w:t>
            </w:r>
          </w:p>
        </w:tc>
        <w:tc>
          <w:tcPr>
            <w:tcW w:w="20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90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Standard &amp; Poor’s 500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126.89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102.22</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126.99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20"/>
                <w:szCs w:val="20"/>
                <w:color w:val="auto"/>
              </w:rPr>
              <w:t>156.59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182.25</w:t>
            </w:r>
          </w:p>
        </w:tc>
        <w:tc>
          <w:tcPr>
            <w:tcW w:w="0" w:type="dxa"/>
            <w:vAlign w:val="bottom"/>
          </w:tcPr>
          <w:p>
            <w:pPr>
              <w:spacing w:after="0"/>
              <w:rPr>
                <w:sz w:val="1"/>
                <w:szCs w:val="1"/>
                <w:color w:val="auto"/>
              </w:rPr>
            </w:pPr>
          </w:p>
        </w:tc>
      </w:tr>
      <w:tr>
        <w:trPr>
          <w:trHeight w:val="252"/>
        </w:trPr>
        <w:tc>
          <w:tcPr>
            <w:tcW w:w="1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Index</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900" w:h="16838" w:orient="portrait"/>
          <w:cols w:equalWidth="0" w:num="1">
            <w:col w:w="11200"/>
          </w:cols>
          <w:pgMar w:left="320" w:top="1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the consolidated financial statements and related notes that appear in this Annual Report.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in this Annual Report, particularly in “Part I – Item 1A. Risk Factors.” The forward-looking statements included in this Report are made only as of the date hereof and we do not assume any obligation to update any forward-looking statements, whether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7"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LendingClub operates a leading, nationally chartered, digital marketplace bank that leverages data and technology to increase access to credit, reduce borrowing costs, and improve returns on savings for our members.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Election of Fair Value Option</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Effective January 1, 2026, we elected the fair value option to account for held for investment (HFI) loans that were originated on or after that date. Prior to this election, loans that were originated as HFI were, and we expect will continue to be, accounted for at amortized cost, which required the initial recognition of an allowance for lifetime expected credit losses under the CECL methodology, recognized within “Provision for credit losses” on the Income Statement. We believe that applying the fair value option, rather than the CECL methodology, to HFI loans more accurately reflects the in-period economic performance of the loans by better aligning the value of the loan to its then fair value. Under the fair value option, origination fee revenue and marketing costs are recognized in earnings at the time of loan origination, rather than being deferred, and changes in fair value of loans are recognized in current period earnings within “Net fair value adjustments” on the Income Statement. Further, by applying the fair value option to HFI loans, we are applying the same accounting methodology to all loans we originate after January 1, 2026, as both HFI and held for sale (HFS) loans will be measured at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Executive Summary</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1D1C1D"/>
        </w:rPr>
        <w:t xml:space="preserve">The following is a summary of our results for the year ended </w:t>
      </w:r>
      <w:r>
        <w:rPr>
          <w:rFonts w:ascii="Times New Roman" w:cs="Times New Roman" w:eastAsia="Times New Roman" w:hAnsi="Times New Roman"/>
          <w:sz w:val="20"/>
          <w:szCs w:val="20"/>
          <w:color w:val="000000"/>
        </w:rPr>
        <w:t>December 31, 2025</w:t>
      </w:r>
      <w:r>
        <w:rPr>
          <w:rFonts w:ascii="Times New Roman" w:cs="Times New Roman" w:eastAsia="Times New Roman" w:hAnsi="Times New Roman"/>
          <w:sz w:val="20"/>
          <w:szCs w:val="20"/>
          <w:color w:val="1D1C1D"/>
        </w:rPr>
        <w:t xml:space="preserve"> compared to the </w:t>
      </w:r>
      <w:r>
        <w:rPr>
          <w:rFonts w:ascii="Times New Roman" w:cs="Times New Roman" w:eastAsia="Times New Roman" w:hAnsi="Times New Roman"/>
          <w:sz w:val="20"/>
          <w:szCs w:val="20"/>
          <w:color w:val="000000"/>
        </w:rPr>
        <w:t>same period in 2024,</w:t>
      </w:r>
      <w:r>
        <w:rPr>
          <w:rFonts w:ascii="Times New Roman" w:cs="Times New Roman" w:eastAsia="Times New Roman" w:hAnsi="Times New Roman"/>
          <w:sz w:val="20"/>
          <w:szCs w:val="20"/>
          <w:color w:val="1D1C1D"/>
        </w:rPr>
        <w:t xml:space="preserve"> reflecting growth in loan originations, total net revenue and net income.</w:t>
      </w:r>
    </w:p>
    <w:p>
      <w:pPr>
        <w:spacing w:after="0" w:line="196" w:lineRule="exact"/>
        <w:rPr>
          <w:sz w:val="20"/>
          <w:szCs w:val="20"/>
          <w:color w:val="auto"/>
        </w:rPr>
      </w:pPr>
    </w:p>
    <w:p>
      <w:pPr>
        <w:ind w:left="340" w:hanging="332"/>
        <w:spacing w:after="0" w:line="273" w:lineRule="auto"/>
        <w:tabs>
          <w:tab w:leader="none" w:pos="32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Loan originations: </w:t>
      </w:r>
      <w:r>
        <w:rPr>
          <w:rFonts w:ascii="Times New Roman" w:cs="Times New Roman" w:eastAsia="Times New Roman" w:hAnsi="Times New Roman"/>
          <w:sz w:val="20"/>
          <w:szCs w:val="20"/>
          <w:color w:val="auto"/>
        </w:rPr>
        <w:t>Loan originations increased $2.4 billion, or 33%, for the year ended December 31, 2025 compared to the same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2024. The increase was driven by an increase in unsecured personal loan origination volume.</w:t>
      </w:r>
    </w:p>
    <w:p>
      <w:pPr>
        <w:spacing w:after="0" w:line="7" w:lineRule="exact"/>
        <w:rPr>
          <w:rFonts w:ascii="Times New Roman" w:cs="Times New Roman" w:eastAsia="Times New Roman" w:hAnsi="Times New Roman"/>
          <w:sz w:val="20"/>
          <w:szCs w:val="20"/>
          <w:color w:val="auto"/>
        </w:rPr>
      </w:pPr>
    </w:p>
    <w:p>
      <w:pPr>
        <w:ind w:left="980" w:right="340" w:hanging="324"/>
        <w:spacing w:after="0" w:line="281" w:lineRule="auto"/>
        <w:tabs>
          <w:tab w:leader="none" w:pos="969"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Marketplace loan originations increased $1.7 billion, or 30%, for the year ended December 31, 2025 compared to the same period in 2024, driven by a higher retention of HFS loans and an increase in marketplace investor demand. Loan originations HFS as a percentage of loan originations was 74% and 76% for the years ended December 31, 2025 and 2024, respectively.</w:t>
      </w:r>
    </w:p>
    <w:p>
      <w:pPr>
        <w:spacing w:after="0" w:line="2" w:lineRule="exact"/>
        <w:rPr>
          <w:rFonts w:ascii="Times New Roman" w:cs="Times New Roman" w:eastAsia="Times New Roman" w:hAnsi="Times New Roman"/>
          <w:sz w:val="19"/>
          <w:szCs w:val="19"/>
          <w:color w:val="auto"/>
        </w:rPr>
      </w:pPr>
    </w:p>
    <w:p>
      <w:pPr>
        <w:ind w:left="980" w:right="120" w:hanging="324"/>
        <w:spacing w:after="0" w:line="261" w:lineRule="auto"/>
        <w:tabs>
          <w:tab w:leader="none" w:pos="96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originations HFI at amortized cost increased $719.3 million, or 41%, for the year ended December 31, 2025 compared to the same period in 2024. Loan originations HFI at amortized cost as a percentage of loan originations was 26% and 24% for the years ended December 31, 2025 and 2024, respectively.</w:t>
      </w:r>
    </w:p>
    <w:p>
      <w:pPr>
        <w:spacing w:after="0" w:line="190" w:lineRule="exact"/>
        <w:rPr>
          <w:rFonts w:ascii="Times New Roman" w:cs="Times New Roman" w:eastAsia="Times New Roman" w:hAnsi="Times New Roman"/>
          <w:sz w:val="20"/>
          <w:szCs w:val="20"/>
          <w:color w:val="auto"/>
        </w:rPr>
      </w:pPr>
    </w:p>
    <w:p>
      <w:pPr>
        <w:ind w:left="340" w:right="400" w:hanging="332"/>
        <w:spacing w:after="0" w:line="287" w:lineRule="auto"/>
        <w:tabs>
          <w:tab w:leader="none" w:pos="32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net revenue: </w:t>
      </w:r>
      <w:r>
        <w:rPr>
          <w:rFonts w:ascii="Times New Roman" w:cs="Times New Roman" w:eastAsia="Times New Roman" w:hAnsi="Times New Roman"/>
          <w:sz w:val="20"/>
          <w:szCs w:val="20"/>
          <w:color w:val="auto"/>
        </w:rPr>
        <w:t>Total net revenue increased $211.8 million, or 27%, for the year ended December 31, 2025 compared to the same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in 2024.</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301" w:lineRule="exact"/>
        <w:rPr>
          <w:sz w:val="20"/>
          <w:szCs w:val="20"/>
          <w:color w:val="auto"/>
        </w:rPr>
      </w:pPr>
    </w:p>
    <w:p>
      <w:pPr>
        <w:ind w:left="980" w:hanging="324"/>
        <w:spacing w:after="0" w:line="263" w:lineRule="auto"/>
        <w:tabs>
          <w:tab w:leader="none" w:pos="96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Marketplace revenue: </w:t>
      </w:r>
      <w:r>
        <w:rPr>
          <w:rFonts w:ascii="Times New Roman" w:cs="Times New Roman" w:eastAsia="Times New Roman" w:hAnsi="Times New Roman"/>
          <w:sz w:val="20"/>
          <w:szCs w:val="20"/>
          <w:color w:val="auto"/>
        </w:rPr>
        <w:t>Marketplace revenue increased $113.2 million, or 47%, for the year ended December 31, 2025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same period in 2024. The increase was primarily due to higher origination volume of marketplace loans and improved loan sales prices.</w:t>
      </w:r>
    </w:p>
    <w:p>
      <w:pPr>
        <w:spacing w:after="0" w:line="13" w:lineRule="exact"/>
        <w:rPr>
          <w:rFonts w:ascii="Times New Roman" w:cs="Times New Roman" w:eastAsia="Times New Roman" w:hAnsi="Times New Roman"/>
          <w:sz w:val="20"/>
          <w:szCs w:val="20"/>
          <w:color w:val="auto"/>
        </w:rPr>
      </w:pPr>
    </w:p>
    <w:p>
      <w:pPr>
        <w:ind w:left="980" w:right="100" w:hanging="324"/>
        <w:spacing w:after="0" w:line="263" w:lineRule="auto"/>
        <w:tabs>
          <w:tab w:leader="none" w:pos="96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Net interest income: </w:t>
      </w:r>
      <w:r>
        <w:rPr>
          <w:rFonts w:ascii="Times New Roman" w:cs="Times New Roman" w:eastAsia="Times New Roman" w:hAnsi="Times New Roman"/>
          <w:sz w:val="20"/>
          <w:szCs w:val="20"/>
          <w:color w:val="auto"/>
        </w:rPr>
        <w:t>Net interest income increased $91.6 million, or 17%, for the year ended December 31, 2025 compared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same period in 2024. The increase was primarily due to an increase in total interest-earning assets and lower deposit funding costs.</w:t>
      </w:r>
    </w:p>
    <w:p>
      <w:pPr>
        <w:spacing w:after="0" w:line="13" w:lineRule="exact"/>
        <w:rPr>
          <w:rFonts w:ascii="Times New Roman" w:cs="Times New Roman" w:eastAsia="Times New Roman" w:hAnsi="Times New Roman"/>
          <w:sz w:val="20"/>
          <w:szCs w:val="20"/>
          <w:color w:val="auto"/>
        </w:rPr>
      </w:pPr>
    </w:p>
    <w:p>
      <w:pPr>
        <w:ind w:left="980" w:right="180" w:hanging="324"/>
        <w:spacing w:after="0" w:line="273" w:lineRule="auto"/>
        <w:tabs>
          <w:tab w:leader="none" w:pos="96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Net interest margin: </w:t>
      </w:r>
      <w:r>
        <w:rPr>
          <w:rFonts w:ascii="Times New Roman" w:cs="Times New Roman" w:eastAsia="Times New Roman" w:hAnsi="Times New Roman"/>
          <w:sz w:val="20"/>
          <w:szCs w:val="20"/>
          <w:color w:val="auto"/>
        </w:rPr>
        <w:t>Net interest margin for the year ended December 31, 2025 was 6.07%, increasing from 5.62% in the prior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w:t>
      </w:r>
    </w:p>
    <w:p>
      <w:pPr>
        <w:spacing w:after="0" w:line="192" w:lineRule="exact"/>
        <w:rPr>
          <w:rFonts w:ascii="Times New Roman" w:cs="Times New Roman" w:eastAsia="Times New Roman" w:hAnsi="Times New Roman"/>
          <w:sz w:val="20"/>
          <w:szCs w:val="20"/>
          <w:color w:val="auto"/>
        </w:rPr>
      </w:pPr>
    </w:p>
    <w:p>
      <w:pPr>
        <w:jc w:val="both"/>
        <w:ind w:left="340" w:right="140" w:hanging="332"/>
        <w:spacing w:after="0" w:line="260"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Provision for credit losses: </w:t>
      </w:r>
      <w:r>
        <w:rPr>
          <w:rFonts w:ascii="Times New Roman" w:cs="Times New Roman" w:eastAsia="Times New Roman" w:hAnsi="Times New Roman"/>
          <w:sz w:val="20"/>
          <w:szCs w:val="20"/>
          <w:color w:val="auto"/>
        </w:rPr>
        <w:t>Provision for credit losses increased $13.1 million, or 7%, for the year ended December 31, 2025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same period in 2024. The increase was primarily driven by a higher volume of originated loans retained as HFI at amortized cost, partially offset by a shift in the mix of loans toward types with lower expected credit losses and the impact of an $8.0 million provision recognized in 2024 related to one legacy office loan within our commercial real estate (CRE) portfolio.</w:t>
      </w:r>
    </w:p>
    <w:p>
      <w:pPr>
        <w:spacing w:after="0" w:line="191" w:lineRule="exact"/>
        <w:rPr>
          <w:rFonts w:ascii="Times New Roman" w:cs="Times New Roman" w:eastAsia="Times New Roman" w:hAnsi="Times New Roman"/>
          <w:sz w:val="20"/>
          <w:szCs w:val="20"/>
          <w:color w:val="auto"/>
        </w:rPr>
      </w:pPr>
    </w:p>
    <w:p>
      <w:pPr>
        <w:ind w:left="340" w:hanging="332"/>
        <w:spacing w:after="0" w:line="260"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non-interest expense: </w:t>
      </w:r>
      <w:r>
        <w:rPr>
          <w:rFonts w:ascii="Times New Roman" w:cs="Times New Roman" w:eastAsia="Times New Roman" w:hAnsi="Times New Roman"/>
          <w:sz w:val="20"/>
          <w:szCs w:val="20"/>
          <w:color w:val="auto"/>
        </w:rPr>
        <w:t>Total non-interest expense increased $86.9 million, or 16%, for the year ended December 31, 2025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same period in 2024. The increase was primarily due to an increase in marketing expense based on higher origination volume and the resumption of certain marketing initiatives, as well as increases in professional services expense and compensation and benefit expense.</w:t>
      </w:r>
    </w:p>
    <w:p>
      <w:pPr>
        <w:spacing w:after="0" w:line="20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Net income: </w:t>
      </w:r>
      <w:r>
        <w:rPr>
          <w:rFonts w:ascii="Times New Roman" w:cs="Times New Roman" w:eastAsia="Times New Roman" w:hAnsi="Times New Roman"/>
          <w:sz w:val="19"/>
          <w:szCs w:val="19"/>
          <w:color w:val="auto"/>
        </w:rPr>
        <w:t>Net income increased $84.3 million, or 164%, for the year ended December 31, 2025 compared to the same period in 2024.</w:t>
      </w:r>
    </w:p>
    <w:p>
      <w:pPr>
        <w:spacing w:after="0" w:line="254" w:lineRule="exact"/>
        <w:rPr>
          <w:rFonts w:ascii="Times New Roman" w:cs="Times New Roman" w:eastAsia="Times New Roman" w:hAnsi="Times New Roman"/>
          <w:sz w:val="19"/>
          <w:szCs w:val="19"/>
          <w:color w:val="auto"/>
        </w:rPr>
      </w:pPr>
    </w:p>
    <w:p>
      <w:pPr>
        <w:ind w:left="340" w:right="340" w:hanging="332"/>
        <w:spacing w:after="0" w:line="287"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Diluted earnings per share (EPS): </w:t>
      </w:r>
      <w:r>
        <w:rPr>
          <w:rFonts w:ascii="Times New Roman" w:cs="Times New Roman" w:eastAsia="Times New Roman" w:hAnsi="Times New Roman"/>
          <w:sz w:val="20"/>
          <w:szCs w:val="20"/>
          <w:color w:val="auto"/>
        </w:rPr>
        <w:t>Diluted EPS increased to $1.16 for the year ended December 31, 2025, compared to $0.45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prior year.</w:t>
      </w:r>
    </w:p>
    <w:p>
      <w:pPr>
        <w:spacing w:after="0" w:line="165" w:lineRule="exact"/>
        <w:rPr>
          <w:rFonts w:ascii="Times New Roman" w:cs="Times New Roman" w:eastAsia="Times New Roman" w:hAnsi="Times New Roman"/>
          <w:sz w:val="20"/>
          <w:szCs w:val="20"/>
          <w:color w:val="auto"/>
        </w:rPr>
      </w:pPr>
    </w:p>
    <w:p>
      <w:pPr>
        <w:ind w:left="340" w:right="340" w:hanging="332"/>
        <w:spacing w:after="0" w:line="287"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Pre-provision net revenue (PPNR): </w:t>
      </w:r>
      <w:r>
        <w:rPr>
          <w:rFonts w:ascii="Times New Roman" w:cs="Times New Roman" w:eastAsia="Times New Roman" w:hAnsi="Times New Roman"/>
          <w:sz w:val="20"/>
          <w:szCs w:val="20"/>
          <w:color w:val="auto"/>
        </w:rPr>
        <w:t>PPNR for the year ended December 31, 2025 increased $124.9 million, or 51%, compared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same period in 2024, driven by an increase in total net revenue, partially offset by an increase in non-interest expense.</w:t>
      </w:r>
    </w:p>
    <w:p>
      <w:pPr>
        <w:spacing w:after="0" w:line="165" w:lineRule="exact"/>
        <w:rPr>
          <w:rFonts w:ascii="Times New Roman" w:cs="Times New Roman" w:eastAsia="Times New Roman" w:hAnsi="Times New Roman"/>
          <w:sz w:val="20"/>
          <w:szCs w:val="20"/>
          <w:color w:val="auto"/>
        </w:rPr>
      </w:pPr>
    </w:p>
    <w:p>
      <w:pPr>
        <w:ind w:left="340" w:right="200" w:hanging="332"/>
        <w:spacing w:after="0" w:line="287"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Total assets: </w:t>
      </w:r>
      <w:r>
        <w:rPr>
          <w:rFonts w:ascii="Times New Roman" w:cs="Times New Roman" w:eastAsia="Times New Roman" w:hAnsi="Times New Roman"/>
          <w:sz w:val="20"/>
          <w:szCs w:val="20"/>
          <w:color w:val="auto"/>
        </w:rPr>
        <w:t>Total assets were $11.6 billion as of December 31, 2025 compared to $10.6 billion in the prior year. Total assets increased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year-over-year primarily driven by an increase in loans on our balance sheet.</w:t>
      </w:r>
    </w:p>
    <w:p>
      <w:pPr>
        <w:spacing w:after="0" w:line="178" w:lineRule="exact"/>
        <w:rPr>
          <w:rFonts w:ascii="Times New Roman" w:cs="Times New Roman" w:eastAsia="Times New Roman" w:hAnsi="Times New Roman"/>
          <w:sz w:val="20"/>
          <w:szCs w:val="20"/>
          <w:color w:val="auto"/>
        </w:rPr>
      </w:pPr>
    </w:p>
    <w:p>
      <w:pPr>
        <w:ind w:left="340" w:right="20" w:hanging="332"/>
        <w:spacing w:after="0" w:line="256" w:lineRule="auto"/>
        <w:tabs>
          <w:tab w:leader="none" w:pos="32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Deposits: </w:t>
      </w:r>
      <w:r>
        <w:rPr>
          <w:rFonts w:ascii="Times New Roman" w:cs="Times New Roman" w:eastAsia="Times New Roman" w:hAnsi="Times New Roman"/>
          <w:sz w:val="20"/>
          <w:szCs w:val="20"/>
          <w:color w:val="auto"/>
        </w:rPr>
        <w:t>Total deposits were $9.8 billion as of December 31, 2025 compared to $9.1 billion in the prior year. The increase was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growth in our high-yield savings deposits.</w:t>
      </w:r>
    </w:p>
    <w:p>
      <w:pPr>
        <w:spacing w:after="0" w:line="1" w:lineRule="exact"/>
        <w:rPr>
          <w:rFonts w:ascii="Times New Roman" w:cs="Times New Roman" w:eastAsia="Times New Roman" w:hAnsi="Times New Roman"/>
          <w:sz w:val="20"/>
          <w:szCs w:val="20"/>
          <w:color w:val="auto"/>
        </w:rPr>
      </w:pPr>
    </w:p>
    <w:p>
      <w:pPr>
        <w:ind w:left="980" w:right="1060" w:hanging="324"/>
        <w:spacing w:after="0" w:line="253" w:lineRule="auto"/>
        <w:tabs>
          <w:tab w:leader="none" w:pos="96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Deposit Insurance Corporation (FDIC)-insured deposits represent approximately 88% of total deposits as of December 31, 2025.</w:t>
      </w:r>
    </w:p>
    <w:p>
      <w:pPr>
        <w:spacing w:after="0" w:line="215"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The above summary should be read in conjunction with this Management’s Discussion and Analysis of Financial Condition and Results of Operations in its entirety. For additional discussion related to our operating segments, see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Highlights</w:t>
      </w:r>
    </w:p>
    <w:p>
      <w:pPr>
        <w:spacing w:after="0" w:line="31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We regularly review several metrics to evaluate our business, measure our performance, identify trends, formulate financial projections and make strategic decisions. The following presents our select financial metrics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w:t>
            </w:r>
          </w:p>
        </w:tc>
        <w:tc>
          <w:tcPr>
            <w:tcW w:w="10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373,176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252,970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302,781</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625,672</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534,041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561,838</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998,848</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787,011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864,619</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630,582</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543,678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566,437</w:t>
            </w:r>
          </w:p>
        </w:tc>
      </w:tr>
      <w:tr>
        <w:trPr>
          <w:trHeight w:val="223"/>
        </w:trPr>
        <w:tc>
          <w:tcPr>
            <w:tcW w:w="582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Pre-provision net revenue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368,266</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243,333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298,182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191,320</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178,267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243,565</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176,946</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65,066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54,617</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(41,269)</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(13,736)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(15,678)</w:t>
            </w:r>
          </w:p>
        </w:tc>
      </w:tr>
      <w:tr>
        <w:trPr>
          <w:trHeight w:val="221"/>
        </w:trPr>
        <w:tc>
          <w:tcPr>
            <w:tcW w:w="58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135,677</w:t>
            </w:r>
          </w:p>
        </w:tc>
        <w:tc>
          <w:tcPr>
            <w:tcW w:w="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51,330</w:t>
            </w:r>
          </w:p>
        </w:tc>
        <w:tc>
          <w:tcPr>
            <w:tcW w:w="3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38,939</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0.46</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0.45</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r>
      <w:tr>
        <w:trPr>
          <w:trHeight w:val="94"/>
        </w:trPr>
        <w:tc>
          <w:tcPr>
            <w:tcW w:w="58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LendingClub Corporation Performance Metrics:</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29"/>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Efficiency ratio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average equity (ROE)</w:t>
            </w: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Return on tangible common equity (ROTCE)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average total assets (ROA)</w:t>
            </w: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as a % of loan originations</w:t>
            </w:r>
          </w:p>
        </w:tc>
        <w:tc>
          <w:tcPr>
            <w:tcW w:w="1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94"/>
        </w:trPr>
        <w:tc>
          <w:tcPr>
            <w:tcW w:w="58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LendingClub Corporation Capital Metrics:</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ratio</w:t>
            </w: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leverage ratio</w:t>
            </w:r>
          </w:p>
        </w:tc>
        <w:tc>
          <w:tcPr>
            <w:tcW w:w="1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13.01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11.34</w:t>
            </w: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Tangible book value per common share </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10.54</w:t>
            </w:r>
          </w:p>
        </w:tc>
      </w:tr>
      <w:tr>
        <w:trPr>
          <w:trHeight w:val="95"/>
        </w:trPr>
        <w:tc>
          <w:tcPr>
            <w:tcW w:w="58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Loan Originations (in millions)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Marketplace loans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7,134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5,482</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5,253</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 originations held for investment</w:t>
            </w:r>
          </w:p>
        </w:tc>
        <w:tc>
          <w:tcPr>
            <w:tcW w:w="1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2,455</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2,184</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originations</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9,589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7,218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7,437</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originations held for investment as a % of total loan originations</w:t>
            </w:r>
          </w:p>
        </w:tc>
        <w:tc>
          <w:tcPr>
            <w:tcW w:w="1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94"/>
        </w:trPr>
        <w:tc>
          <w:tcPr>
            <w:tcW w:w="58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Servicing Portfolio AUM (in millions) </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servicing portfolio</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13,423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12,371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14,122</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 serviced for others</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7,601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7,207</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9,336</w:t>
            </w:r>
          </w:p>
        </w:tc>
      </w:tr>
    </w:tbl>
    <w:p>
      <w:pPr>
        <w:spacing w:after="0" w:line="6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Represents a non-GAAP financial measure. See “</w:t>
      </w:r>
      <w:r>
        <w:rPr>
          <w:rFonts w:ascii="Times New Roman" w:cs="Times New Roman" w:eastAsia="Times New Roman" w:hAnsi="Times New Roman"/>
          <w:sz w:val="17"/>
          <w:szCs w:val="17"/>
          <w:i w:val="1"/>
          <w:iCs w:val="1"/>
          <w:color w:val="auto"/>
        </w:rPr>
        <w:t>Non-GAAP Financial Measures</w:t>
      </w:r>
      <w:r>
        <w:rPr>
          <w:rFonts w:ascii="Times New Roman" w:cs="Times New Roman" w:eastAsia="Times New Roman" w:hAnsi="Times New Roman"/>
          <w:sz w:val="17"/>
          <w:szCs w:val="17"/>
          <w:color w:val="auto"/>
        </w:rPr>
        <w:t>” for additional information.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the ratio of non-interest expense to total net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unsecured personal loans and auto loans only.</w:t>
      </w:r>
    </w:p>
    <w:p>
      <w:pPr>
        <w:spacing w:after="0" w:line="9" w:lineRule="exact"/>
        <w:rPr>
          <w:sz w:val="20"/>
          <w:szCs w:val="20"/>
          <w:color w:val="auto"/>
        </w:rPr>
      </w:pPr>
    </w:p>
    <w:p>
      <w:pPr>
        <w:sectPr>
          <w:pgSz w:w="11900" w:h="16838" w:orient="portrait"/>
          <w:cols w:equalWidth="0" w:num="2">
            <w:col w:w="140" w:space="180"/>
            <w:col w:w="10920"/>
          </w:cols>
          <w:pgMar w:left="320" w:top="356" w:right="339" w:bottom="1440" w:gutter="0" w:footer="0" w:header="0"/>
          <w:type w:val="continuous"/>
        </w:sectPr>
      </w:pPr>
    </w:p>
    <w:p>
      <w:pPr>
        <w:ind w:left="340" w:right="200" w:hanging="332"/>
        <w:spacing w:after="0" w:line="219" w:lineRule="auto"/>
        <w:tabs>
          <w:tab w:leader="none" w:pos="322"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Assets under management (AUM) reflects loans serviced on our platform, which includes outstanding balances of unsecured personal loans and auto refinance loans serviced for others and retained by the Company as of the end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61" w:name="page62"/>
    <w:bookmarkEnd w:id="6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36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Balance Sheet Data:</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6"/>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3,706,709</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3,452,648</w:t>
            </w:r>
          </w:p>
        </w:tc>
      </w:tr>
      <w:tr>
        <w:trPr>
          <w:trHeight w:val="25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sale at fair value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1,762,396</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636,352</w:t>
            </w: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 at amortized cost</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4,272,812</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4,125,818</w:t>
            </w:r>
          </w:p>
        </w:tc>
      </w:tr>
      <w:tr>
        <w:trPr>
          <w:trHeight w:val="257"/>
        </w:trPr>
        <w:tc>
          <w:tcPr>
            <w:tcW w:w="7380" w:type="dxa"/>
            <w:vAlign w:val="bottom"/>
            <w:shd w:val="clear" w:color="auto" w:fill="CCEEFF"/>
          </w:tcPr>
          <w:p>
            <w:pPr>
              <w:ind w:left="240"/>
              <w:spacing w:after="0" w:line="257" w:lineRule="exact"/>
              <w:rPr>
                <w:sz w:val="20"/>
                <w:szCs w:val="20"/>
                <w:color w:val="auto"/>
              </w:rPr>
            </w:pPr>
            <w:r>
              <w:rPr>
                <w:rFonts w:ascii="Times New Roman" w:cs="Times New Roman" w:eastAsia="Times New Roman" w:hAnsi="Times New Roman"/>
                <w:sz w:val="20"/>
                <w:szCs w:val="20"/>
                <w:color w:val="auto"/>
              </w:rPr>
              <w:t xml:space="preserve">Gross allowance for loan and lease losses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(312,667)</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(285,686)</w:t>
            </w:r>
          </w:p>
        </w:tc>
      </w:tr>
      <w:tr>
        <w:trPr>
          <w:trHeight w:val="256"/>
        </w:trPr>
        <w:tc>
          <w:tcPr>
            <w:tcW w:w="7380" w:type="dxa"/>
            <w:vAlign w:val="bottom"/>
            <w:tcBorders>
              <w:bottom w:val="single" w:sz="8" w:color="CCEEFF"/>
            </w:tcBorders>
          </w:tcPr>
          <w:p>
            <w:pPr>
              <w:ind w:left="240"/>
              <w:spacing w:after="0" w:line="257" w:lineRule="exact"/>
              <w:rPr>
                <w:sz w:val="20"/>
                <w:szCs w:val="20"/>
                <w:color w:val="auto"/>
              </w:rPr>
            </w:pPr>
            <w:r>
              <w:rPr>
                <w:rFonts w:ascii="Times New Roman" w:cs="Times New Roman" w:eastAsia="Times New Roman" w:hAnsi="Times New Roman"/>
                <w:sz w:val="20"/>
                <w:szCs w:val="20"/>
                <w:color w:val="auto"/>
              </w:rPr>
              <w:t xml:space="preserve">Recovery asset value </w:t>
            </w:r>
            <w:r>
              <w:rPr>
                <w:rFonts w:ascii="Times New Roman" w:cs="Times New Roman" w:eastAsia="Times New Roman" w:hAnsi="Times New Roman"/>
                <w:sz w:val="25"/>
                <w:szCs w:val="25"/>
                <w:color w:val="auto"/>
                <w:vertAlign w:val="superscript"/>
              </w:rPr>
              <w:t>(2)</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36,924</w:t>
            </w:r>
          </w:p>
        </w:tc>
        <w:tc>
          <w:tcPr>
            <w:tcW w:w="4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48,952</w:t>
            </w:r>
          </w:p>
        </w:tc>
      </w:tr>
      <w:tr>
        <w:trPr>
          <w:trHeight w:val="2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(275,743)</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(236,734)</w:t>
            </w: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 at amortized cost, net</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3,997,069</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3,889,084</w:t>
            </w:r>
          </w:p>
        </w:tc>
      </w:tr>
      <w:tr>
        <w:trPr>
          <w:trHeight w:val="257"/>
        </w:trPr>
        <w:tc>
          <w:tcPr>
            <w:tcW w:w="7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473,314</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1,027,798</w:t>
            </w:r>
          </w:p>
        </w:tc>
      </w:tr>
      <w:tr>
        <w:trPr>
          <w:trHeight w:val="250"/>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loans and leases held for investment</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4,470,383</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4,916,882</w:t>
            </w:r>
          </w:p>
        </w:tc>
      </w:tr>
      <w:tr>
        <w:trPr>
          <w:trHeight w:val="25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assets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11,567,816</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10,630,509</w:t>
            </w:r>
          </w:p>
        </w:tc>
      </w:tr>
      <w:tr>
        <w:trPr>
          <w:trHeight w:val="256"/>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deposits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9,833,870</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9,068,237</w:t>
            </w:r>
          </w:p>
        </w:tc>
      </w:tr>
      <w:tr>
        <w:trPr>
          <w:trHeight w:val="25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10,067,388</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9,288,778</w:t>
            </w: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equity</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1,500,428</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1,341,731</w:t>
            </w:r>
          </w:p>
        </w:tc>
      </w:tr>
      <w:tr>
        <w:trPr>
          <w:trHeight w:val="94"/>
        </w:trPr>
        <w:tc>
          <w:tcPr>
            <w:tcW w:w="7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257"/>
        </w:trPr>
        <w:tc>
          <w:tcPr>
            <w:tcW w:w="73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b w:val="1"/>
                <w:bCs w:val="1"/>
                <w:color w:val="auto"/>
              </w:rPr>
              <w:t xml:space="preserve">Allowance Ratios </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20"/>
                <w:szCs w:val="20"/>
                <w:b w:val="1"/>
                <w:bCs w:val="1"/>
                <w:color w:val="auto"/>
              </w:rPr>
              <w:t>:</w:t>
            </w: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ALLL to total loans and leases held for investment at amortized cost</w:t>
            </w: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5.7 %</w:t>
            </w: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ALLL to commercial loans and leases held for investment at amortized cost</w:t>
            </w:r>
          </w:p>
        </w:tc>
        <w:tc>
          <w:tcPr>
            <w:tcW w:w="3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3.9 %</w:t>
            </w:r>
          </w:p>
        </w:tc>
      </w:tr>
      <w:tr>
        <w:trPr>
          <w:trHeight w:val="25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ALLL to consumer loans and leases held for investment at amortized cost</w:t>
            </w: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7.2 %</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6.1 %</w:t>
            </w: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ALLL to consumer loans and leases held for investment at amortized cost</w:t>
            </w:r>
          </w:p>
        </w:tc>
        <w:tc>
          <w:tcPr>
            <w:tcW w:w="3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8.2 %</w:t>
            </w:r>
          </w:p>
        </w:tc>
        <w:tc>
          <w:tcPr>
            <w:tcW w:w="4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7.5 %</w:t>
            </w:r>
          </w:p>
        </w:tc>
      </w:tr>
      <w:tr>
        <w:trPr>
          <w:trHeight w:val="94"/>
        </w:trPr>
        <w:tc>
          <w:tcPr>
            <w:tcW w:w="7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257"/>
        </w:trPr>
        <w:tc>
          <w:tcPr>
            <w:tcW w:w="7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charge-offs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151,919</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249,083</w:t>
            </w:r>
          </w:p>
        </w:tc>
      </w:tr>
      <w:tr>
        <w:trPr>
          <w:trHeight w:val="256"/>
        </w:trPr>
        <w:tc>
          <w:tcPr>
            <w:tcW w:w="7380" w:type="dxa"/>
            <w:vAlign w:val="bottom"/>
            <w:tcBorders>
              <w:bottom w:val="single" w:sz="8" w:color="auto"/>
            </w:tcBorders>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Net charge-off ratio </w:t>
            </w:r>
            <w:r>
              <w:rPr>
                <w:rFonts w:ascii="Times New Roman" w:cs="Times New Roman" w:eastAsia="Times New Roman" w:hAnsi="Times New Roman"/>
                <w:sz w:val="25"/>
                <w:szCs w:val="25"/>
                <w:color w:val="auto"/>
                <w:vertAlign w:val="superscript"/>
              </w:rPr>
              <w:t>(4)</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5.8 %</w:t>
            </w:r>
          </w:p>
        </w:tc>
      </w:tr>
    </w:tbl>
    <w:p>
      <w:pPr>
        <w:spacing w:after="0" w:line="24"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allowance for future estimated net charge-offs on existing portfolio balances.</w:t>
      </w:r>
    </w:p>
    <w:p>
      <w:pPr>
        <w:ind w:left="280" w:hanging="272"/>
        <w:spacing w:after="0" w:line="189" w:lineRule="auto"/>
        <w:tabs>
          <w:tab w:leader="none" w:pos="2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negative allowance for expected recoveries of amounts previously charged-off.</w:t>
      </w:r>
    </w:p>
    <w:p>
      <w:pPr>
        <w:spacing w:after="0" w:line="7" w:lineRule="exact"/>
        <w:rPr>
          <w:rFonts w:ascii="Times New Roman" w:cs="Times New Roman" w:eastAsia="Times New Roman" w:hAnsi="Times New Roman"/>
          <w:sz w:val="26"/>
          <w:szCs w:val="26"/>
          <w:color w:val="auto"/>
          <w:vertAlign w:val="superscript"/>
        </w:rPr>
      </w:pPr>
    </w:p>
    <w:p>
      <w:pPr>
        <w:ind w:left="340" w:right="500" w:hanging="332"/>
        <w:spacing w:after="0" w:line="211" w:lineRule="auto"/>
        <w:tabs>
          <w:tab w:leader="none" w:pos="294"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ALLL or gross ALLL, where applicable, to the corresponding portfolio segment balance of loans and leases held for investment at amortized cost.</w:t>
      </w:r>
    </w:p>
    <w:p>
      <w:pPr>
        <w:ind w:left="280" w:hanging="272"/>
        <w:spacing w:after="0" w:line="195" w:lineRule="auto"/>
        <w:tabs>
          <w:tab w:leader="none" w:pos="2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net charge-offs divided by average outstanding loans and leases HFI at amortized cost, net, during the period.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This section of this Form 10-K generally discusses 2025 and 2024 items and year-over-year comparisons between 2025 and 2024. For discussion related to 2023 items and year-over-year comparisons between 2024 and 2023, see “</w:t>
      </w:r>
      <w:r>
        <w:rPr>
          <w:rFonts w:ascii="Times New Roman" w:cs="Times New Roman" w:eastAsia="Times New Roman" w:hAnsi="Times New Roman"/>
          <w:sz w:val="19"/>
          <w:szCs w:val="19"/>
          <w:i w:val="1"/>
          <w:iCs w:val="1"/>
          <w:color w:val="auto"/>
        </w:rPr>
        <w:t>Part II – Item 7. Management’s Discussion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Analysis of Financial Condition and Results of Operations</w:t>
      </w:r>
      <w:r>
        <w:rPr>
          <w:rFonts w:ascii="Times New Roman" w:cs="Times New Roman" w:eastAsia="Times New Roman" w:hAnsi="Times New Roman"/>
          <w:sz w:val="19"/>
          <w:szCs w:val="19"/>
          <w:color w:val="auto"/>
        </w:rPr>
        <w:t>” in the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6" w:right="4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Income Statement data for each of the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9"/>
                <w:szCs w:val="19"/>
                <w:b w:val="1"/>
                <w:bCs w:val="1"/>
                <w:color w:val="auto"/>
              </w:rPr>
              <w:t>2025</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9"/>
                <w:szCs w:val="19"/>
                <w:b w:val="1"/>
                <w:bCs w:val="1"/>
                <w:color w:val="auto"/>
              </w:rPr>
              <w:t>2024</w:t>
            </w: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19"/>
                <w:szCs w:val="19"/>
                <w:b w:val="1"/>
                <w:bCs w:val="1"/>
                <w:color w:val="auto"/>
              </w:rPr>
              <w:t>2023</w:t>
            </w:r>
          </w:p>
        </w:tc>
        <w:tc>
          <w:tcPr>
            <w:tcW w:w="1640" w:type="dxa"/>
            <w:vAlign w:val="bottom"/>
            <w:tcBorders>
              <w:top w:val="single" w:sz="8" w:color="auto"/>
            </w:tcBorders>
          </w:tcPr>
          <w:p>
            <w:pPr>
              <w:jc w:val="right"/>
              <w:ind w:right="281"/>
              <w:spacing w:after="0" w:line="189" w:lineRule="exact"/>
              <w:rPr>
                <w:sz w:val="20"/>
                <w:szCs w:val="20"/>
                <w:color w:val="auto"/>
              </w:rPr>
            </w:pPr>
            <w:r>
              <w:rPr>
                <w:rFonts w:ascii="Times New Roman" w:cs="Times New Roman" w:eastAsia="Times New Roman" w:hAnsi="Times New Roman"/>
                <w:sz w:val="19"/>
                <w:szCs w:val="19"/>
                <w:b w:val="1"/>
                <w:bCs w:val="1"/>
                <w:color w:val="auto"/>
              </w:rPr>
              <w:t>2025 vs. 2024</w:t>
            </w:r>
          </w:p>
        </w:tc>
        <w:tc>
          <w:tcPr>
            <w:tcW w:w="1480" w:type="dxa"/>
            <w:vAlign w:val="bottom"/>
            <w:tcBorders>
              <w:top w:val="single" w:sz="8" w:color="auto"/>
            </w:tcBorders>
          </w:tcPr>
          <w:p>
            <w:pPr>
              <w:jc w:val="right"/>
              <w:ind w:right="141"/>
              <w:spacing w:after="0" w:line="189" w:lineRule="exact"/>
              <w:rPr>
                <w:sz w:val="20"/>
                <w:szCs w:val="20"/>
                <w:color w:val="auto"/>
              </w:rPr>
            </w:pPr>
            <w:r>
              <w:rPr>
                <w:rFonts w:ascii="Times New Roman" w:cs="Times New Roman" w:eastAsia="Times New Roman" w:hAnsi="Times New Roman"/>
                <w:sz w:val="19"/>
                <w:szCs w:val="19"/>
                <w:b w:val="1"/>
                <w:bCs w:val="1"/>
                <w:color w:val="auto"/>
              </w:rPr>
              <w:t>2024 vs. 2023</w:t>
            </w:r>
          </w:p>
        </w:tc>
        <w:tc>
          <w:tcPr>
            <w:tcW w:w="0" w:type="dxa"/>
            <w:vAlign w:val="bottom"/>
          </w:tcPr>
          <w:p>
            <w:pPr>
              <w:spacing w:after="0"/>
              <w:rPr>
                <w:sz w:val="1"/>
                <w:szCs w:val="1"/>
                <w:color w:val="auto"/>
              </w:rPr>
            </w:pPr>
          </w:p>
        </w:tc>
      </w:tr>
      <w:tr>
        <w:trPr>
          <w:trHeight w:val="252"/>
        </w:trPr>
        <w:tc>
          <w:tcPr>
            <w:tcW w:w="358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9"/>
                <w:szCs w:val="19"/>
                <w:b w:val="1"/>
                <w:bCs w:val="1"/>
                <w:color w:val="auto"/>
              </w:rPr>
              <w:t>Change (%)</w:t>
            </w:r>
          </w:p>
        </w:tc>
        <w:tc>
          <w:tcPr>
            <w:tcW w:w="14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9"/>
                <w:szCs w:val="19"/>
                <w:b w:val="1"/>
                <w:bCs w:val="1"/>
                <w:color w:val="auto"/>
              </w:rPr>
              <w:t>Change (%)</w:t>
            </w:r>
          </w:p>
        </w:tc>
        <w:tc>
          <w:tcPr>
            <w:tcW w:w="0" w:type="dxa"/>
            <w:vAlign w:val="bottom"/>
          </w:tcPr>
          <w:p>
            <w:pPr>
              <w:spacing w:after="0"/>
              <w:rPr>
                <w:sz w:val="1"/>
                <w:szCs w:val="1"/>
                <w:color w:val="auto"/>
              </w:rPr>
            </w:pPr>
          </w:p>
        </w:tc>
      </w:tr>
      <w:tr>
        <w:trPr>
          <w:trHeight w:val="24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Non-interest income:</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Marketplace revenue</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355,944</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242,791</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291,484</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47 %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non-interest income</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17,232</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10,179</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11,297</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69 %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non-interest income</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373,176</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252,970</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302,781</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48 %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74"/>
        </w:trPr>
        <w:tc>
          <w:tcPr>
            <w:tcW w:w="35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Interest income:</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Interest on loans held for sale</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142,937</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92,442</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35,655</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55 %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0" w:type="dxa"/>
            <w:vAlign w:val="bottom"/>
          </w:tcPr>
          <w:p>
            <w:pPr>
              <w:spacing w:after="0"/>
              <w:rPr>
                <w:sz w:val="1"/>
                <w:szCs w:val="1"/>
                <w:color w:val="auto"/>
              </w:rPr>
            </w:pPr>
          </w:p>
        </w:tc>
      </w:tr>
      <w:tr>
        <w:trPr>
          <w:trHeight w:val="176"/>
        </w:trPr>
        <w:tc>
          <w:tcPr>
            <w:tcW w:w="3580" w:type="dxa"/>
            <w:vAlign w:val="bottom"/>
          </w:tcPr>
          <w:p>
            <w:pPr>
              <w:ind w:left="100"/>
              <w:spacing w:after="0" w:line="176" w:lineRule="exact"/>
              <w:rPr>
                <w:sz w:val="20"/>
                <w:szCs w:val="20"/>
                <w:color w:val="auto"/>
              </w:rPr>
            </w:pPr>
            <w:r>
              <w:rPr>
                <w:rFonts w:ascii="Times New Roman" w:cs="Times New Roman" w:eastAsia="Times New Roman" w:hAnsi="Times New Roman"/>
                <w:sz w:val="19"/>
                <w:szCs w:val="19"/>
                <w:color w:val="auto"/>
              </w:rPr>
              <w:t>Interest and fees on loans and leases held for</w:t>
            </w:r>
          </w:p>
        </w:tc>
        <w:tc>
          <w:tcPr>
            <w:tcW w:w="380" w:type="dxa"/>
            <w:vAlign w:val="bottom"/>
          </w:tcPr>
          <w:p>
            <w:pPr>
              <w:spacing w:after="0"/>
              <w:rPr>
                <w:sz w:val="15"/>
                <w:szCs w:val="15"/>
                <w:color w:val="auto"/>
              </w:rPr>
            </w:pPr>
          </w:p>
        </w:tc>
        <w:tc>
          <w:tcPr>
            <w:tcW w:w="110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490,071</w:t>
            </w:r>
          </w:p>
        </w:tc>
        <w:tc>
          <w:tcPr>
            <w:tcW w:w="360" w:type="dxa"/>
            <w:vAlign w:val="bottom"/>
          </w:tcPr>
          <w:p>
            <w:pPr>
              <w:spacing w:after="0"/>
              <w:rPr>
                <w:sz w:val="15"/>
                <w:szCs w:val="15"/>
                <w:color w:val="auto"/>
              </w:rPr>
            </w:pPr>
          </w:p>
        </w:tc>
        <w:tc>
          <w:tcPr>
            <w:tcW w:w="112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494,214</w:t>
            </w:r>
          </w:p>
        </w:tc>
        <w:tc>
          <w:tcPr>
            <w:tcW w:w="360" w:type="dxa"/>
            <w:vAlign w:val="bottom"/>
          </w:tcPr>
          <w:p>
            <w:pPr>
              <w:spacing w:after="0"/>
              <w:rPr>
                <w:sz w:val="15"/>
                <w:szCs w:val="15"/>
                <w:color w:val="auto"/>
              </w:rPr>
            </w:pPr>
          </w:p>
        </w:tc>
        <w:tc>
          <w:tcPr>
            <w:tcW w:w="122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616,735</w:t>
            </w:r>
          </w:p>
        </w:tc>
        <w:tc>
          <w:tcPr>
            <w:tcW w:w="164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color w:val="auto"/>
              </w:rPr>
              <w:t>(1)%</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52"/>
        </w:trPr>
        <w:tc>
          <w:tcPr>
            <w:tcW w:w="35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investment</w:t>
            </w:r>
          </w:p>
        </w:tc>
        <w:tc>
          <w:tcPr>
            <w:tcW w:w="3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9"/>
                <w:szCs w:val="19"/>
                <w:color w:val="auto"/>
              </w:rPr>
              <w:t>Interest on loans held for investment at fair</w:t>
            </w:r>
          </w:p>
        </w:tc>
        <w:tc>
          <w:tcPr>
            <w:tcW w:w="3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72,782</w:t>
            </w:r>
          </w:p>
        </w:tc>
        <w:tc>
          <w:tcPr>
            <w:tcW w:w="3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77,034</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74,088</w:t>
            </w:r>
          </w:p>
        </w:tc>
        <w:tc>
          <w:tcPr>
            <w:tcW w:w="164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(6)%</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9"/>
                <w:szCs w:val="19"/>
                <w:color w:val="auto"/>
              </w:rPr>
              <w:t>value</w:t>
            </w:r>
          </w:p>
        </w:tc>
        <w:tc>
          <w:tcPr>
            <w:tcW w:w="38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1640" w:type="dxa"/>
            <w:vAlign w:val="bottom"/>
            <w:vMerge w:val="continue"/>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on securities available for sale</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223,820</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187,961</w:t>
            </w:r>
          </w:p>
        </w:tc>
        <w:tc>
          <w:tcPr>
            <w:tcW w:w="36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40,235</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19 %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367 %</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interest income</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31,933</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56,307</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65,917</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(43)%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interest income</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961,543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907,958</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832,630</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6 %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0" w:type="dxa"/>
            <w:vAlign w:val="bottom"/>
          </w:tcPr>
          <w:p>
            <w:pPr>
              <w:spacing w:after="0"/>
              <w:rPr>
                <w:sz w:val="1"/>
                <w:szCs w:val="1"/>
                <w:color w:val="auto"/>
              </w:rPr>
            </w:pPr>
          </w:p>
        </w:tc>
      </w:tr>
      <w:tr>
        <w:trPr>
          <w:trHeight w:val="74"/>
        </w:trPr>
        <w:tc>
          <w:tcPr>
            <w:tcW w:w="35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Interest expense:</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Interest on deposits</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335,724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369,219</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265,556</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0" w:type="dxa"/>
            <w:vAlign w:val="bottom"/>
          </w:tcPr>
          <w:p>
            <w:pPr>
              <w:spacing w:after="0"/>
              <w:rPr>
                <w:sz w:val="1"/>
                <w:szCs w:val="1"/>
                <w:color w:val="auto"/>
              </w:rPr>
            </w:pPr>
          </w:p>
        </w:tc>
      </w:tr>
      <w:tr>
        <w:trPr>
          <w:trHeight w:val="256"/>
        </w:trPr>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Other interest expense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147</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4,698</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5,236</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(97)%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9"/>
                <w:szCs w:val="19"/>
                <w:b w:val="1"/>
                <w:bCs w:val="1"/>
                <w:color w:val="auto"/>
              </w:rPr>
              <w:t>Total 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335,871</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373,917</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270,792</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r>
        <w:trPr>
          <w:trHeight w:val="74"/>
        </w:trPr>
        <w:tc>
          <w:tcPr>
            <w:tcW w:w="3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9"/>
                <w:szCs w:val="19"/>
                <w:b w:val="1"/>
                <w:bCs w:val="1"/>
                <w:color w:val="auto"/>
              </w:rPr>
              <w:t>Net interest income</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625,672</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534,041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561,838</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17 %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75"/>
        </w:trPr>
        <w:tc>
          <w:tcPr>
            <w:tcW w:w="3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9"/>
                <w:szCs w:val="19"/>
                <w:b w:val="1"/>
                <w:bCs w:val="1"/>
                <w:color w:val="auto"/>
              </w:rPr>
              <w:t>Total net revenue</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998,848</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787,011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864,619</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27 %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75"/>
        </w:trPr>
        <w:tc>
          <w:tcPr>
            <w:tcW w:w="3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Provision for credit losses</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191,320</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178,267</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243,565</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7 %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75"/>
        </w:trPr>
        <w:tc>
          <w:tcPr>
            <w:tcW w:w="3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Non-interest expense:</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Compensation and benefits</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241,846</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232,158</w:t>
            </w:r>
          </w:p>
        </w:tc>
        <w:tc>
          <w:tcPr>
            <w:tcW w:w="36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261,948</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Marketing</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149,211</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100,402</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93,840</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49 %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256"/>
        </w:trPr>
        <w:tc>
          <w:tcPr>
            <w:tcW w:w="35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Equipment and software</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57,014</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51,194</w:t>
            </w:r>
          </w:p>
        </w:tc>
        <w:tc>
          <w:tcPr>
            <w:tcW w:w="36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53,485</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62,889</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58,834</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47,195</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7 %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57"/>
        </w:trPr>
        <w:tc>
          <w:tcPr>
            <w:tcW w:w="35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Professional services</w:t>
            </w:r>
          </w:p>
        </w:tc>
        <w:tc>
          <w:tcPr>
            <w:tcW w:w="38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42,339</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32,045</w:t>
            </w:r>
          </w:p>
        </w:tc>
        <w:tc>
          <w:tcPr>
            <w:tcW w:w="36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35,173</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32 %</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Occupancy</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19,834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15,798</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17,532</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26 %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Other non-interest expense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57,449</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53,247</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57,264</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8 %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9"/>
                <w:szCs w:val="19"/>
                <w:b w:val="1"/>
                <w:bCs w:val="1"/>
                <w:color w:val="auto"/>
              </w:rPr>
              <w:t>Total non-interest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630,582</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543,678</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566,437</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16 %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74"/>
        </w:trPr>
        <w:tc>
          <w:tcPr>
            <w:tcW w:w="3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Income before income tax expense</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176,946</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65,066</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54,617</w:t>
            </w:r>
          </w:p>
        </w:tc>
        <w:tc>
          <w:tcPr>
            <w:tcW w:w="1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172 %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0" w:type="dxa"/>
            <w:vAlign w:val="bottom"/>
          </w:tcPr>
          <w:p>
            <w:pPr>
              <w:spacing w:after="0"/>
              <w:rPr>
                <w:sz w:val="1"/>
                <w:szCs w:val="1"/>
                <w:color w:val="auto"/>
              </w:rPr>
            </w:pPr>
          </w:p>
        </w:tc>
      </w:tr>
      <w:tr>
        <w:trPr>
          <w:trHeight w:val="256"/>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Income tax expense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(41,269)</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(15,678)</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200 %</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75"/>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3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38,939</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164 %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Marketplace Revenue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Marketplace revenue consists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8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4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5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Origination fees</w:t>
            </w:r>
          </w:p>
        </w:tc>
        <w:tc>
          <w:tcPr>
            <w:tcW w:w="1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372,815</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283,420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89,395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Servicing fees</w:t>
            </w:r>
          </w:p>
        </w:tc>
        <w:tc>
          <w:tcPr>
            <w:tcW w:w="186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58,988</w:t>
            </w:r>
          </w:p>
        </w:tc>
        <w:tc>
          <w:tcPr>
            <w:tcW w:w="34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64,933</w:t>
            </w:r>
          </w:p>
        </w:tc>
        <w:tc>
          <w:tcPr>
            <w:tcW w:w="220" w:type="dxa"/>
            <w:vAlign w:val="bottom"/>
          </w:tcPr>
          <w:p>
            <w:pPr>
              <w:spacing w:after="0"/>
              <w:rPr>
                <w:sz w:val="22"/>
                <w:szCs w:val="22"/>
                <w:color w:val="auto"/>
              </w:rPr>
            </w:pP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(5,945)</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Gain on sales of loans</w:t>
            </w:r>
          </w:p>
        </w:tc>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59,087</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49,097</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9,990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5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fair value adjustments</w:t>
            </w:r>
          </w:p>
        </w:tc>
        <w:tc>
          <w:tcPr>
            <w:tcW w:w="18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(134,946)</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(154,659)</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19,713</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75"/>
        </w:trPr>
        <w:tc>
          <w:tcPr>
            <w:tcW w:w="3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marketplace revenue</w:t>
            </w: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355,944</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242,791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113,153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47 %</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8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4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5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Origination fees</w:t>
            </w:r>
          </w:p>
        </w:tc>
        <w:tc>
          <w:tcPr>
            <w:tcW w:w="1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283,420</w:t>
            </w:r>
          </w:p>
        </w:tc>
        <w:tc>
          <w:tcPr>
            <w:tcW w:w="3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279,146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4,274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56"/>
        </w:trPr>
        <w:tc>
          <w:tcPr>
            <w:tcW w:w="3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Servicing fees</w:t>
            </w:r>
          </w:p>
        </w:tc>
        <w:tc>
          <w:tcPr>
            <w:tcW w:w="186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64,933</w:t>
            </w:r>
          </w:p>
        </w:tc>
        <w:tc>
          <w:tcPr>
            <w:tcW w:w="34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98,613</w:t>
            </w:r>
          </w:p>
        </w:tc>
        <w:tc>
          <w:tcPr>
            <w:tcW w:w="220" w:type="dxa"/>
            <w:vAlign w:val="bottom"/>
          </w:tcPr>
          <w:p>
            <w:pPr>
              <w:spacing w:after="0"/>
              <w:rPr>
                <w:sz w:val="22"/>
                <w:szCs w:val="22"/>
                <w:color w:val="auto"/>
              </w:rPr>
            </w:pPr>
          </w:p>
        </w:tc>
        <w:tc>
          <w:tcPr>
            <w:tcW w:w="1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(33,680)</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Gain on sales of loans</w:t>
            </w:r>
          </w:p>
        </w:tc>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49,097</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47,839</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1,258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3 %</w:t>
            </w:r>
          </w:p>
        </w:tc>
      </w:tr>
      <w:tr>
        <w:trPr>
          <w:trHeight w:val="25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fair value adjustments</w:t>
            </w:r>
          </w:p>
        </w:tc>
        <w:tc>
          <w:tcPr>
            <w:tcW w:w="18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(154,659)</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(134,114)</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(20,545)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275"/>
        </w:trPr>
        <w:tc>
          <w:tcPr>
            <w:tcW w:w="3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marketplace revenue</w:t>
            </w: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242,791</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291,484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(48,693)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20"/>
          <w:szCs w:val="20"/>
          <w:color w:val="auto"/>
        </w:rPr>
        <w:t>We elected to account for HFS loans under the fair value option. With the election of the fair value option, origination fees, net fair value adjustments prior to the sale of the loans, and servicing asset gains on the sales of the loans, are reported as separate components within “Marketplace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Origination Fees</w:t>
      </w:r>
    </w:p>
    <w:p>
      <w:pPr>
        <w:spacing w:after="0" w:line="26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Origination fees recorded as a component of marketplace revenue are fees charged to borrowers in connection with the origination of loans that are HFS.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loan origination volume during each of the periods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5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424"/>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424"/>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544"/>
              <w:spacing w:after="0"/>
              <w:rPr>
                <w:sz w:val="20"/>
                <w:szCs w:val="20"/>
                <w:color w:val="auto"/>
              </w:rPr>
            </w:pPr>
            <w:r>
              <w:rPr>
                <w:rFonts w:ascii="Times New Roman" w:cs="Times New Roman" w:eastAsia="Times New Roman" w:hAnsi="Times New Roman"/>
                <w:sz w:val="20"/>
                <w:szCs w:val="20"/>
                <w:b w:val="1"/>
                <w:bCs w:val="1"/>
                <w:color w:val="auto"/>
              </w:rPr>
              <w:t>2023</w:t>
            </w:r>
          </w:p>
        </w:tc>
        <w:tc>
          <w:tcPr>
            <w:tcW w:w="1720" w:type="dxa"/>
            <w:vAlign w:val="bottom"/>
            <w:tcBorders>
              <w:top w:val="single" w:sz="8" w:color="auto"/>
            </w:tcBorders>
          </w:tcPr>
          <w:p>
            <w:pPr>
              <w:jc w:val="right"/>
              <w:ind w:right="304"/>
              <w:spacing w:after="0" w:line="203" w:lineRule="exact"/>
              <w:rPr>
                <w:sz w:val="20"/>
                <w:szCs w:val="20"/>
                <w:color w:val="auto"/>
              </w:rPr>
            </w:pPr>
            <w:r>
              <w:rPr>
                <w:rFonts w:ascii="Times New Roman" w:cs="Times New Roman" w:eastAsia="Times New Roman" w:hAnsi="Times New Roman"/>
                <w:sz w:val="20"/>
                <w:szCs w:val="20"/>
                <w:b w:val="1"/>
                <w:bCs w:val="1"/>
                <w:color w:val="auto"/>
              </w:rPr>
              <w:t>2025 vs. 2024</w:t>
            </w:r>
          </w:p>
        </w:tc>
        <w:tc>
          <w:tcPr>
            <w:tcW w:w="1520" w:type="dxa"/>
            <w:vAlign w:val="bottom"/>
            <w:tcBorders>
              <w:top w:val="single" w:sz="8" w:color="auto"/>
            </w:tcBorders>
          </w:tcPr>
          <w:p>
            <w:pPr>
              <w:jc w:val="right"/>
              <w:ind w:right="144"/>
              <w:spacing w:after="0" w:line="203" w:lineRule="exact"/>
              <w:rPr>
                <w:sz w:val="20"/>
                <w:szCs w:val="20"/>
                <w:color w:val="auto"/>
              </w:rPr>
            </w:pPr>
            <w:r>
              <w:rPr>
                <w:rFonts w:ascii="Times New Roman" w:cs="Times New Roman" w:eastAsia="Times New Roman" w:hAnsi="Times New Roman"/>
                <w:sz w:val="20"/>
                <w:szCs w:val="20"/>
                <w:b w:val="1"/>
                <w:bCs w:val="1"/>
                <w:color w:val="auto"/>
              </w:rPr>
              <w:t>2024 vs. 2023</w:t>
            </w:r>
          </w:p>
        </w:tc>
        <w:tc>
          <w:tcPr>
            <w:tcW w:w="0" w:type="dxa"/>
            <w:vAlign w:val="bottom"/>
          </w:tcPr>
          <w:p>
            <w:pPr>
              <w:spacing w:after="0"/>
              <w:rPr>
                <w:sz w:val="1"/>
                <w:szCs w:val="1"/>
                <w:color w:val="auto"/>
              </w:rPr>
            </w:pPr>
          </w:p>
        </w:tc>
      </w:tr>
      <w:tr>
        <w:trPr>
          <w:trHeight w:val="256"/>
        </w:trPr>
        <w:tc>
          <w:tcPr>
            <w:tcW w:w="318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1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5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0" w:type="dxa"/>
            <w:vAlign w:val="bottom"/>
          </w:tcPr>
          <w:p>
            <w:pPr>
              <w:spacing w:after="0"/>
              <w:rPr>
                <w:sz w:val="1"/>
                <w:szCs w:val="1"/>
                <w:color w:val="auto"/>
              </w:rPr>
            </w:pPr>
          </w:p>
        </w:tc>
      </w:tr>
      <w:tr>
        <w:trPr>
          <w:trHeight w:val="23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Marketplace loans</w:t>
            </w:r>
          </w:p>
        </w:tc>
        <w:tc>
          <w:tcPr>
            <w:tcW w:w="5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7,134,117</w:t>
            </w:r>
          </w:p>
        </w:tc>
        <w:tc>
          <w:tcPr>
            <w:tcW w:w="4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5,482,339</w:t>
            </w:r>
          </w:p>
        </w:tc>
        <w:tc>
          <w:tcPr>
            <w:tcW w:w="3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9"/>
                <w:szCs w:val="19"/>
                <w:color w:val="auto"/>
              </w:rPr>
              <w:t>5,252,668</w:t>
            </w:r>
          </w:p>
        </w:tc>
        <w:tc>
          <w:tcPr>
            <w:tcW w:w="17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9"/>
                <w:szCs w:val="19"/>
                <w:color w:val="auto"/>
              </w:rPr>
              <w:t>30 %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4 %</w:t>
            </w:r>
          </w:p>
        </w:tc>
        <w:tc>
          <w:tcPr>
            <w:tcW w:w="0" w:type="dxa"/>
            <w:vAlign w:val="bottom"/>
          </w:tcPr>
          <w:p>
            <w:pPr>
              <w:spacing w:after="0"/>
              <w:rPr>
                <w:sz w:val="1"/>
                <w:szCs w:val="1"/>
                <w:color w:val="auto"/>
              </w:rPr>
            </w:pPr>
          </w:p>
        </w:tc>
      </w:tr>
      <w:tr>
        <w:trPr>
          <w:trHeight w:val="24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Loan originations held for investment</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2,454,743</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1,735,409</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color w:val="auto"/>
              </w:rPr>
              <w:t>2,184,095</w:t>
            </w:r>
          </w:p>
        </w:tc>
        <w:tc>
          <w:tcPr>
            <w:tcW w:w="17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color w:val="auto"/>
              </w:rPr>
              <w:t>41 %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0" w:type="dxa"/>
            <w:vAlign w:val="bottom"/>
          </w:tcPr>
          <w:p>
            <w:pPr>
              <w:spacing w:after="0"/>
              <w:rPr>
                <w:sz w:val="1"/>
                <w:szCs w:val="1"/>
                <w:color w:val="auto"/>
              </w:rPr>
            </w:pPr>
          </w:p>
        </w:tc>
      </w:tr>
      <w:tr>
        <w:trPr>
          <w:trHeight w:val="262"/>
        </w:trPr>
        <w:tc>
          <w:tcPr>
            <w:tcW w:w="3180" w:type="dxa"/>
            <w:vAlign w:val="bottom"/>
            <w:tcBorders>
              <w:bottom w:val="single" w:sz="8" w:color="auto"/>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9"/>
                <w:szCs w:val="19"/>
                <w:color w:val="auto"/>
              </w:rPr>
              <w:t xml:space="preserve">Total loan originations </w:t>
            </w:r>
            <w:r>
              <w:rPr>
                <w:rFonts w:ascii="Times New Roman" w:cs="Times New Roman" w:eastAsia="Times New Roman" w:hAnsi="Times New Roman"/>
                <w:sz w:val="24"/>
                <w:szCs w:val="24"/>
                <w:color w:val="auto"/>
                <w:vertAlign w:val="superscript"/>
              </w:rPr>
              <w:t>(1)</w:t>
            </w:r>
          </w:p>
        </w:tc>
        <w:tc>
          <w:tcPr>
            <w:tcW w:w="58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9,588,860</w:t>
            </w:r>
          </w:p>
        </w:tc>
        <w:tc>
          <w:tcPr>
            <w:tcW w:w="40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7,217,748</w:t>
            </w:r>
          </w:p>
        </w:tc>
        <w:tc>
          <w:tcPr>
            <w:tcW w:w="3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9"/>
                <w:szCs w:val="19"/>
                <w:color w:val="auto"/>
              </w:rPr>
              <w:t>7,436,763</w:t>
            </w:r>
          </w:p>
        </w:tc>
        <w:tc>
          <w:tcPr>
            <w:tcW w:w="172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9"/>
                <w:szCs w:val="19"/>
                <w:color w:val="auto"/>
              </w:rPr>
              <w:t>33 %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unsecured personal loans and auto loans only.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Origination fees were $372.8 million and $283.4 million for the years ended December 31, 2025 and 2024, respectively, an increase of 32%.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was primarily due to higher origination volumes of marketplace loans.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Servicing Fees</w:t>
      </w:r>
    </w:p>
    <w:p>
      <w:pPr>
        <w:spacing w:after="0" w:line="2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We receive servicing fees to compensate us for servicing loans on behalf of marketplace investors, including managing payments from borrowers and remittances to those investors. Servicing fee revenue related to loans sold also includes the change in fair value of servicing assets associated with the loans.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table below illustrates the average balance of loans sold and subsequently serviced on behalf of the investor on our marketplace platform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right"/>
              <w:ind w:right="543"/>
              <w:spacing w:after="0"/>
              <w:rPr>
                <w:sz w:val="20"/>
                <w:szCs w:val="20"/>
                <w:color w:val="auto"/>
              </w:rPr>
            </w:pPr>
            <w:r>
              <w:rPr>
                <w:rFonts w:ascii="Times New Roman" w:cs="Times New Roman" w:eastAsia="Times New Roman" w:hAnsi="Times New Roman"/>
                <w:sz w:val="20"/>
                <w:szCs w:val="20"/>
                <w:b w:val="1"/>
                <w:bCs w:val="1"/>
                <w:color w:val="auto"/>
              </w:rPr>
              <w:t>2023</w:t>
            </w:r>
          </w:p>
        </w:tc>
        <w:tc>
          <w:tcPr>
            <w:tcW w:w="1720" w:type="dxa"/>
            <w:vAlign w:val="bottom"/>
            <w:tcBorders>
              <w:top w:val="single" w:sz="8" w:color="auto"/>
            </w:tcBorders>
          </w:tcPr>
          <w:p>
            <w:pPr>
              <w:jc w:val="center"/>
              <w:ind w:right="103"/>
              <w:spacing w:after="0" w:line="203" w:lineRule="exact"/>
              <w:rPr>
                <w:sz w:val="20"/>
                <w:szCs w:val="20"/>
                <w:color w:val="auto"/>
              </w:rPr>
            </w:pPr>
            <w:r>
              <w:rPr>
                <w:rFonts w:ascii="Times New Roman" w:cs="Times New Roman" w:eastAsia="Times New Roman" w:hAnsi="Times New Roman"/>
                <w:sz w:val="20"/>
                <w:szCs w:val="20"/>
                <w:b w:val="1"/>
                <w:bCs w:val="1"/>
                <w:color w:val="auto"/>
                <w:w w:val="99"/>
              </w:rPr>
              <w:t>2025 vs. 2024</w:t>
            </w:r>
          </w:p>
        </w:tc>
        <w:tc>
          <w:tcPr>
            <w:tcW w:w="154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2024 vs. 2023</w:t>
            </w:r>
          </w:p>
        </w:tc>
        <w:tc>
          <w:tcPr>
            <w:tcW w:w="0" w:type="dxa"/>
            <w:vAlign w:val="bottom"/>
          </w:tcPr>
          <w:p>
            <w:pPr>
              <w:spacing w:after="0"/>
              <w:rPr>
                <w:sz w:val="1"/>
                <w:szCs w:val="1"/>
                <w:color w:val="auto"/>
              </w:rPr>
            </w:pPr>
          </w:p>
        </w:tc>
      </w:tr>
      <w:tr>
        <w:trPr>
          <w:trHeight w:val="256"/>
        </w:trPr>
        <w:tc>
          <w:tcPr>
            <w:tcW w:w="286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72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20"/>
                <w:szCs w:val="20"/>
                <w:b w:val="1"/>
                <w:bCs w:val="1"/>
                <w:color w:val="auto"/>
                <w:w w:val="98"/>
              </w:rPr>
              <w:t>Change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0" w:type="dxa"/>
            <w:vAlign w:val="bottom"/>
          </w:tcPr>
          <w:p>
            <w:pPr>
              <w:spacing w:after="0"/>
              <w:rPr>
                <w:sz w:val="1"/>
                <w:szCs w:val="1"/>
                <w:color w:val="auto"/>
              </w:rPr>
            </w:pPr>
          </w:p>
        </w:tc>
      </w:tr>
      <w:tr>
        <w:trPr>
          <w:trHeight w:val="237"/>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Average AUM – Loans sold</w:t>
            </w:r>
          </w:p>
        </w:tc>
        <w:tc>
          <w:tcPr>
            <w:tcW w:w="150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8"/>
              </w:rPr>
              <w:t>7,347</w:t>
            </w:r>
          </w:p>
        </w:tc>
        <w:tc>
          <w:tcPr>
            <w:tcW w:w="98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w w:val="93"/>
              </w:rPr>
              <w:t>8,116</w:t>
            </w:r>
          </w:p>
        </w:tc>
        <w:tc>
          <w:tcPr>
            <w:tcW w:w="38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10,093</w:t>
            </w:r>
          </w:p>
        </w:tc>
        <w:tc>
          <w:tcPr>
            <w:tcW w:w="17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9"/>
                <w:szCs w:val="19"/>
                <w:color w:val="auto"/>
              </w:rPr>
              <w:t>(9)%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In addition to the loans serviced on our marketplace platform, we serviced $42.7 million, $102.0 million and $133.2 million in outstanding principal balance of commercial loans sold as of December 31, 2025, 2024 and 2023, respectively.</w:t>
      </w:r>
    </w:p>
    <w:p>
      <w:pPr>
        <w:spacing w:after="0" w:line="2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Servicing fees were $59.0 million and $64.9 million for the years ended December 31, 2025 and 2024, respectively, a decrease of 9%. The decrease was primarily due to a lower average principal balance of loans serviced and reduction in servicing fees on delinquent loan collections. This was partially offset by a decrease in fair value amortization on the servicing asset, which included a $7.7 million servicing asset write-off in the third quarter of 2024 related to a loan portfolio purchase.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Sales of Loans</w:t>
      </w:r>
    </w:p>
    <w:p>
      <w:pPr>
        <w:spacing w:after="0" w:line="2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 connection with loan sales to marketplace investors, we capitalize the initial fair value of servicing rights. A gain or loss is recorded based on the level to which the contractual servicing fee is above or below an estimated market rate of servicing at the time of sale. Additionally, we recognize transaction costs, if any, as a loss on sale of loans.</w:t>
      </w:r>
    </w:p>
    <w:p>
      <w:pPr>
        <w:spacing w:after="0" w:line="20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unpaid principal balance of the volume of marketplace loans sold, which is a key driver of our gain on sales revenue, during each of the periods set forth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760" w:type="dxa"/>
            <w:vAlign w:val="bottom"/>
            <w:tcBorders>
              <w:top w:val="single" w:sz="8" w:color="auto"/>
            </w:tcBorders>
          </w:tcPr>
          <w:p>
            <w:pPr>
              <w:jc w:val="center"/>
              <w:ind w:right="121"/>
              <w:spacing w:after="0" w:line="203" w:lineRule="exact"/>
              <w:rPr>
                <w:sz w:val="20"/>
                <w:szCs w:val="20"/>
                <w:color w:val="auto"/>
              </w:rPr>
            </w:pPr>
            <w:r>
              <w:rPr>
                <w:rFonts w:ascii="Times New Roman" w:cs="Times New Roman" w:eastAsia="Times New Roman" w:hAnsi="Times New Roman"/>
                <w:sz w:val="20"/>
                <w:szCs w:val="20"/>
                <w:b w:val="1"/>
                <w:bCs w:val="1"/>
                <w:color w:val="auto"/>
                <w:w w:val="97"/>
              </w:rPr>
              <w:t>2025 vs. 2024</w:t>
            </w:r>
          </w:p>
        </w:tc>
        <w:tc>
          <w:tcPr>
            <w:tcW w:w="158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2024 vs. 2023</w:t>
            </w:r>
          </w:p>
        </w:tc>
        <w:tc>
          <w:tcPr>
            <w:tcW w:w="0" w:type="dxa"/>
            <w:vAlign w:val="bottom"/>
          </w:tcPr>
          <w:p>
            <w:pPr>
              <w:spacing w:after="0"/>
              <w:rPr>
                <w:sz w:val="1"/>
                <w:szCs w:val="1"/>
                <w:color w:val="auto"/>
              </w:rPr>
            </w:pPr>
          </w:p>
        </w:tc>
      </w:tr>
      <w:tr>
        <w:trPr>
          <w:trHeight w:val="256"/>
        </w:trPr>
        <w:tc>
          <w:tcPr>
            <w:tcW w:w="27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17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Change (%)</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Change (%)</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Marketplace loans sold </w:t>
            </w:r>
            <w:r>
              <w:rPr>
                <w:rFonts w:ascii="Times New Roman" w:cs="Times New Roman" w:eastAsia="Times New Roman" w:hAnsi="Times New Roman"/>
                <w:sz w:val="25"/>
                <w:szCs w:val="25"/>
                <w:color w:val="auto"/>
                <w:vertAlign w:val="superscript"/>
              </w:rPr>
              <w:t>(1)</w:t>
            </w:r>
          </w:p>
        </w:tc>
        <w:tc>
          <w:tcPr>
            <w:tcW w:w="8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5,377,856</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4,716,173</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4,749,411</w:t>
            </w:r>
          </w:p>
        </w:tc>
        <w:tc>
          <w:tcPr>
            <w:tcW w:w="17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14 %</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unsecured personal loans and auto loans only.</w:t>
      </w:r>
    </w:p>
    <w:p>
      <w:pPr>
        <w:spacing w:after="0" w:line="21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20"/>
          <w:szCs w:val="20"/>
          <w:color w:val="auto"/>
        </w:rPr>
        <w:t>Gain on sales of loans was $59.1 million and $49.1 million for the years ended December 31, 2025 and 2024, respectively, an increase of 20%. The increase was primarily driven by the increase in the volume of marketplace loans sold as well as higher Structured Program transaction expenses 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Fair Value Adjustments</w:t>
      </w:r>
    </w:p>
    <w:p>
      <w:pPr>
        <w:spacing w:after="0" w:line="2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record adjustments to the carrying value of loans, for which we have elected to account for under the fair value option, to reflect their fair value. These adjustments include gains or losses from sale prices in excess of or less than the loan principal amount sold and realized net charge-offs. In addition, as loans are held on the Balance Sheet, incremental fair value adjustments on the loans are recorded in “Net fair value adjustments” within “Marketplace revenue,” whereas the associated interest income is recorded within “Net interest income.”</w:t>
      </w:r>
    </w:p>
    <w:p>
      <w:pPr>
        <w:spacing w:after="0" w:line="21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9"/>
          <w:szCs w:val="19"/>
          <w:color w:val="auto"/>
        </w:rPr>
        <w:t>Net fair value adjustments were $(134.9) million and $(154.7) million for the years ended December 31, 2025 and 2024, respectively, a decreased loss of $19.7 million. The reduction was primarily due to higher loan sale prices as well as a fair value benefit recognized in the second quarter of 2025 based on improved credit performance, partially offset by an increase in the origination volume of marketplace loans.</w:t>
      </w:r>
    </w:p>
    <w:p>
      <w:pPr>
        <w:spacing w:after="0" w:line="187"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20"/>
          <w:szCs w:val="20"/>
          <w:color w:val="auto"/>
        </w:rPr>
        <w:t>Net fair value adjustments primarily consist of fair value adjustments on our HFS loan portfolio. See “</w:t>
      </w:r>
      <w:r>
        <w:rPr>
          <w:rFonts w:ascii="Times New Roman" w:cs="Times New Roman" w:eastAsia="Times New Roman" w:hAnsi="Times New Roman"/>
          <w:sz w:val="20"/>
          <w:szCs w:val="20"/>
          <w:i w:val="1"/>
          <w:iCs w:val="1"/>
          <w:color w:val="auto"/>
        </w:rPr>
        <w:t>Item 8.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Supplementary Data – Notes to Consolidated Financial Statements – Note 7. Fair Value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Measurements</w:t>
      </w:r>
      <w:r>
        <w:rPr>
          <w:rFonts w:ascii="Times New Roman" w:cs="Times New Roman" w:eastAsia="Times New Roman" w:hAnsi="Times New Roman"/>
          <w:sz w:val="20"/>
          <w:szCs w:val="20"/>
          <w:color w:val="auto"/>
        </w:rPr>
        <w:t>” for additional information related to the significant unobservable inputs used in the fair value measurement of HFS loans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activity within the HFS loan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Non-interest Income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non-interest income primarily consists of (i) rental income earned from third-party tenants under operating lease agreements and</w:t>
      </w:r>
    </w:p>
    <w:p>
      <w:pPr>
        <w:spacing w:after="0" w:line="22" w:lineRule="exact"/>
        <w:rPr>
          <w:sz w:val="20"/>
          <w:szCs w:val="20"/>
          <w:color w:val="auto"/>
        </w:rPr>
      </w:pPr>
    </w:p>
    <w:p>
      <w:pPr>
        <w:ind w:right="20" w:firstLine="8"/>
        <w:spacing w:after="0" w:line="286" w:lineRule="auto"/>
        <w:tabs>
          <w:tab w:leader="none" w:pos="291"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referral revenue that relates to fees earned from third-party companies when customers referred by us consider or purchase products or services from such third-party companies. The tables below illustrate the composition of other non-interest income for each period presented: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5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5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Rental income</w:t>
            </w:r>
          </w:p>
        </w:tc>
        <w:tc>
          <w:tcPr>
            <w:tcW w:w="5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7,459</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7,459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Referral revenue</w:t>
            </w:r>
          </w:p>
        </w:tc>
        <w:tc>
          <w:tcPr>
            <w:tcW w:w="54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3,647</w:t>
            </w:r>
          </w:p>
        </w:tc>
        <w:tc>
          <w:tcPr>
            <w:tcW w:w="40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3,174</w:t>
            </w:r>
          </w:p>
        </w:tc>
        <w:tc>
          <w:tcPr>
            <w:tcW w:w="260" w:type="dxa"/>
            <w:vAlign w:val="bottom"/>
          </w:tcPr>
          <w:p>
            <w:pPr>
              <w:spacing w:after="0"/>
              <w:rPr>
                <w:sz w:val="22"/>
                <w:szCs w:val="22"/>
                <w:color w:val="auto"/>
              </w:rPr>
            </w:pPr>
          </w:p>
        </w:tc>
        <w:tc>
          <w:tcPr>
            <w:tcW w:w="14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473</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0"/>
                <w:szCs w:val="20"/>
                <w:color w:val="auto"/>
              </w:rPr>
              <w:t>Realized gains on sales of securities available for sale and</w:t>
            </w:r>
          </w:p>
        </w:tc>
        <w:tc>
          <w:tcPr>
            <w:tcW w:w="5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c>
          <w:tcPr>
            <w:tcW w:w="26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(95)</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other investments</w:t>
            </w:r>
          </w:p>
        </w:tc>
        <w:tc>
          <w:tcPr>
            <w:tcW w:w="540" w:type="dxa"/>
            <w:vAlign w:val="bottom"/>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vMerge w:val="continue"/>
            <w:shd w:val="clear" w:color="auto" w:fill="CCEEFF"/>
          </w:tcPr>
          <w:p>
            <w:pPr>
              <w:spacing w:after="0"/>
              <w:rPr>
                <w:sz w:val="22"/>
                <w:szCs w:val="22"/>
                <w:color w:val="auto"/>
              </w:rPr>
            </w:pPr>
          </w:p>
        </w:tc>
        <w:tc>
          <w:tcPr>
            <w:tcW w:w="15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6,126</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6,910</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(784)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75"/>
        </w:trPr>
        <w:tc>
          <w:tcPr>
            <w:tcW w:w="4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Other non-interest income</w:t>
            </w:r>
          </w:p>
        </w:tc>
        <w:tc>
          <w:tcPr>
            <w:tcW w:w="5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17,232</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10,179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7,053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5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5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Referral revenue</w:t>
            </w:r>
          </w:p>
        </w:tc>
        <w:tc>
          <w:tcPr>
            <w:tcW w:w="5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3,174</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4,574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(1,400)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193"/>
        </w:trPr>
        <w:tc>
          <w:tcPr>
            <w:tcW w:w="482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Realized gains on sales of securities available for sale and</w:t>
            </w:r>
          </w:p>
        </w:tc>
        <w:tc>
          <w:tcPr>
            <w:tcW w:w="540" w:type="dxa"/>
            <w:vAlign w:val="bottom"/>
          </w:tcPr>
          <w:p>
            <w:pPr>
              <w:spacing w:after="0"/>
              <w:rPr>
                <w:sz w:val="16"/>
                <w:szCs w:val="16"/>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c>
          <w:tcPr>
            <w:tcW w:w="400" w:type="dxa"/>
            <w:vAlign w:val="bottom"/>
          </w:tcPr>
          <w:p>
            <w:pPr>
              <w:spacing w:after="0"/>
              <w:rPr>
                <w:sz w:val="16"/>
                <w:szCs w:val="16"/>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6"/>
                <w:szCs w:val="16"/>
                <w:color w:val="auto"/>
              </w:rPr>
            </w:pPr>
          </w:p>
        </w:tc>
        <w:tc>
          <w:tcPr>
            <w:tcW w:w="142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rPr>
              <w:t>95</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2"/>
        </w:trPr>
        <w:tc>
          <w:tcPr>
            <w:tcW w:w="4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investments</w:t>
            </w:r>
          </w:p>
        </w:tc>
        <w:tc>
          <w:tcPr>
            <w:tcW w:w="5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w:t>
            </w: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6,910</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6,723</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187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Other non-interest income</w:t>
            </w:r>
          </w:p>
        </w:tc>
        <w:tc>
          <w:tcPr>
            <w:tcW w:w="5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10,179</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(1,118)</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Other non-interest income increased $7.1 million, or 69%, for the year ended December 31, 2025 compared to the same period in 2024. The increase was primarily due to rental income earned from third-party tenants under operating lease agreements associated with the building purchased in the second quarter of 2025.</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w:t>
      </w:r>
    </w:p>
    <w:p>
      <w:pPr>
        <w:spacing w:after="0" w:line="26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table below presents net interest income information corresponding to interest-earning assets and interest-bearing funding sources. The average yield/rate is calculated by dividing the period-end interest income/expense by the average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3"/>
                <w:szCs w:val="13"/>
                <w:color w:val="auto"/>
              </w:rPr>
            </w:pPr>
          </w:p>
        </w:tc>
        <w:tc>
          <w:tcPr>
            <w:tcW w:w="84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3"/>
                <w:szCs w:val="13"/>
                <w:color w:val="auto"/>
              </w:rPr>
            </w:pPr>
          </w:p>
        </w:tc>
        <w:tc>
          <w:tcPr>
            <w:tcW w:w="84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0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0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Interest-earning assets </w:t>
            </w:r>
            <w:r>
              <w:rPr>
                <w:rFonts w:ascii="Times New Roman" w:cs="Times New Roman" w:eastAsia="Times New Roman" w:hAnsi="Times New Roman"/>
                <w:sz w:val="21"/>
                <w:szCs w:val="21"/>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Cash, cash equivalents,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770,044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31,933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1,081,644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56,307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5.21 %</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1,293,047</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65,917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and other</w:t>
            </w: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Securities available for sale</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3,518,310</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223,820</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2,707,049</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187,961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40,235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at fair value</w:t>
            </w: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Loans held for sale at fair</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1,131,157</w:t>
            </w:r>
          </w:p>
        </w:tc>
        <w:tc>
          <w:tcPr>
            <w:tcW w:w="22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142,937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719,898</w:t>
            </w:r>
          </w:p>
        </w:tc>
        <w:tc>
          <w:tcPr>
            <w:tcW w:w="20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92,442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252,519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35,655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value</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Loans and leases held for</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investment at amortized</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Unsecured personal loans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3,199,345</w:t>
            </w:r>
          </w:p>
        </w:tc>
        <w:tc>
          <w:tcPr>
            <w:tcW w:w="22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429,419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3,220,969</w:t>
            </w:r>
          </w:p>
        </w:tc>
        <w:tc>
          <w:tcPr>
            <w:tcW w:w="20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431,782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549,256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Commercial and other</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1,035,486</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60,652</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1,073,445</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62,432</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1,151,201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67,479</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Loans and leases held for</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investment at amortized</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4,234,831</w:t>
            </w:r>
          </w:p>
        </w:tc>
        <w:tc>
          <w:tcPr>
            <w:tcW w:w="22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490,071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4,294,414</w:t>
            </w:r>
          </w:p>
        </w:tc>
        <w:tc>
          <w:tcPr>
            <w:tcW w:w="20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494,214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5,294,683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616,735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Loans held for investment at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661,349</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72,782</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693,557</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77,034</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74,088</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Total loans and leases held</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4,896,180</w:t>
            </w:r>
          </w:p>
        </w:tc>
        <w:tc>
          <w:tcPr>
            <w:tcW w:w="220" w:type="dxa"/>
            <w:vAlign w:val="bottom"/>
          </w:tcPr>
          <w:p>
            <w:pPr>
              <w:spacing w:after="0"/>
              <w:rPr>
                <w:sz w:val="13"/>
                <w:szCs w:val="13"/>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562,853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11.50 %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4,987,971</w:t>
            </w:r>
          </w:p>
        </w:tc>
        <w:tc>
          <w:tcPr>
            <w:tcW w:w="200" w:type="dxa"/>
            <w:vAlign w:val="bottom"/>
          </w:tcPr>
          <w:p>
            <w:pPr>
              <w:spacing w:after="0"/>
              <w:rPr>
                <w:sz w:val="13"/>
                <w:szCs w:val="13"/>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571,248</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11.45 %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5,862,187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690,823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11.78 %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 investment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interest-earning</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10,315,691</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961,543</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9,496,562</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907,958</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8,059,800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832,630</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vMerge w:val="restart"/>
          </w:tcPr>
          <w:p>
            <w:pPr>
              <w:spacing w:after="0"/>
              <w:rPr>
                <w:sz w:val="3"/>
                <w:szCs w:val="3"/>
                <w:color w:val="auto"/>
              </w:rPr>
            </w:pPr>
          </w:p>
        </w:tc>
        <w:tc>
          <w:tcPr>
            <w:tcW w:w="1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Cash and due from banks and</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32,696</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Allowance for loan and lease</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(255,779)</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(247,458)</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(345,434)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Other non-interest earning</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627,791</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621,324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10,720,399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9,922,160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8,461,354</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Savings and money</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6,250,152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237,557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5,022,106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234,046</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4,438,916</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186,305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market accounts </w:t>
            </w:r>
            <w:r>
              <w:rPr>
                <w:rFonts w:ascii="Times New Roman" w:cs="Times New Roman" w:eastAsia="Times New Roman" w:hAnsi="Times New Roman"/>
                <w:sz w:val="21"/>
                <w:szCs w:val="21"/>
                <w:color w:val="auto"/>
                <w:vertAlign w:val="superscript"/>
              </w:rPr>
              <w:t>(2)</w:t>
            </w: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2,105,408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92,701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2,044,776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104,850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48,988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bottom w:val="single" w:sz="8" w:color="auto"/>
            </w:tcBorders>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Checking accounts </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414,754</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5,466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868,503</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30,323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1,199,871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30,263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8,770,314</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335,724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7,935,385</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369,219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6,690,165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265,556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Other interest-bearing</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220" w:type="dxa"/>
            <w:vAlign w:val="bottom"/>
          </w:tcPr>
          <w:p>
            <w:pPr>
              <w:spacing w:after="0"/>
              <w:rPr>
                <w:sz w:val="13"/>
                <w:szCs w:val="13"/>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147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143,189</w:t>
            </w:r>
          </w:p>
        </w:tc>
        <w:tc>
          <w:tcPr>
            <w:tcW w:w="200" w:type="dxa"/>
            <w:vAlign w:val="bottom"/>
          </w:tcPr>
          <w:p>
            <w:pPr>
              <w:spacing w:after="0"/>
              <w:rPr>
                <w:sz w:val="13"/>
                <w:szCs w:val="13"/>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4,698</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5,236</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interest-bearing</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8,773,519</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335,871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8,078,574</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373,917</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6,759,285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270,792</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301,510</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323,378</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237,842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228,270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9,312,871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8,630,222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7,257,304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1,291,938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60" w:type="dxa"/>
            <w:vAlign w:val="bottom"/>
          </w:tcPr>
          <w:p>
            <w:pPr>
              <w:ind w:left="16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6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4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9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6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Yield/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Yield/</w:t>
            </w: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19"/>
                <w:szCs w:val="19"/>
                <w:color w:val="auto"/>
              </w:rPr>
            </w:pPr>
          </w:p>
        </w:tc>
        <w:tc>
          <w:tcPr>
            <w:tcW w:w="2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Total liabilities and equity  </w:t>
            </w:r>
            <w:r>
              <w:rPr>
                <w:rFonts w:ascii="Times New Roman" w:cs="Times New Roman" w:eastAsia="Times New Roman" w:hAnsi="Times New Roman"/>
                <w:sz w:val="16"/>
                <w:szCs w:val="16"/>
                <w:color w:val="auto"/>
              </w:rPr>
              <w:t>$  10,720,399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9,922,160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8,461,354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vMerge w:val="restart"/>
          </w:tcPr>
          <w:p>
            <w:pPr>
              <w:spacing w:after="0"/>
              <w:rPr>
                <w:sz w:val="3"/>
                <w:szCs w:val="3"/>
                <w:color w:val="auto"/>
              </w:rPr>
            </w:pPr>
          </w:p>
        </w:tc>
        <w:tc>
          <w:tcPr>
            <w:tcW w:w="1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 rate spread</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CCEEFF"/>
            </w:tcBorders>
          </w:tcPr>
          <w:p>
            <w:pPr>
              <w:spacing w:after="0"/>
              <w:rPr>
                <w:sz w:val="8"/>
                <w:szCs w:val="8"/>
                <w:color w:val="auto"/>
              </w:rPr>
            </w:pPr>
          </w:p>
        </w:tc>
        <w:tc>
          <w:tcPr>
            <w:tcW w:w="10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 interest income and</w:t>
            </w:r>
          </w:p>
        </w:tc>
        <w:tc>
          <w:tcPr>
            <w:tcW w:w="9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625,672</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534,041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3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561,838</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interest margin</w:t>
            </w:r>
          </w:p>
        </w:tc>
        <w:tc>
          <w:tcPr>
            <w:tcW w:w="9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340" w:type="dxa"/>
            <w:vAlign w:val="bottom"/>
            <w:gridSpan w:val="4"/>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Nonaccrual loans and any related income are included in their respective loan categories.</w:t>
      </w:r>
    </w:p>
    <w:p>
      <w:pPr>
        <w:spacing w:after="0" w:line="47" w:lineRule="exact"/>
        <w:rPr>
          <w:rFonts w:ascii="Times New Roman" w:cs="Times New Roman" w:eastAsia="Times New Roman" w:hAnsi="Times New Roman"/>
          <w:sz w:val="26"/>
          <w:szCs w:val="26"/>
          <w:color w:val="auto"/>
          <w:vertAlign w:val="superscript"/>
        </w:rPr>
      </w:pPr>
    </w:p>
    <w:p>
      <w:pPr>
        <w:ind w:left="360" w:hanging="352"/>
        <w:spacing w:after="0" w:line="189" w:lineRule="auto"/>
        <w:tabs>
          <w:tab w:leader="none" w:pos="36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period amounts have been reclassified to conform to the current period presentation.</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An analysis of the year-over-year changes in the categories of interest income and interest expense resulting from changes in volume and rate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2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 Compared to 2024</w:t>
            </w:r>
          </w:p>
        </w:tc>
        <w:tc>
          <w:tcPr>
            <w:tcW w:w="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 Compared to 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Due to Change in:</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Due to Change in: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6"/>
                <w:szCs w:val="16"/>
                <w:color w:val="auto"/>
              </w:rPr>
            </w:pPr>
          </w:p>
        </w:tc>
        <w:tc>
          <w:tcPr>
            <w:tcW w:w="1160" w:type="dxa"/>
            <w:vAlign w:val="bottom"/>
          </w:tcPr>
          <w:p>
            <w:pPr>
              <w:jc w:val="right"/>
              <w:ind w:right="250"/>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6"/>
                <w:szCs w:val="1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9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6"/>
                <w:szCs w:val="16"/>
                <w:color w:val="auto"/>
              </w:rPr>
            </w:pPr>
          </w:p>
        </w:tc>
        <w:tc>
          <w:tcPr>
            <w:tcW w:w="1140" w:type="dxa"/>
            <w:vAlign w:val="bottom"/>
          </w:tcPr>
          <w:p>
            <w:pPr>
              <w:jc w:val="right"/>
              <w:ind w:right="250"/>
              <w:spacing w:after="0" w:line="18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6"/>
                <w:szCs w:val="16"/>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Volume </w:t>
            </w:r>
            <w:r>
              <w:rPr>
                <w:rFonts w:ascii="Times New Roman" w:cs="Times New Roman" w:eastAsia="Times New Roman" w:hAnsi="Times New Roman"/>
                <w:sz w:val="23"/>
                <w:szCs w:val="23"/>
                <w:b w:val="1"/>
                <w:bCs w:val="1"/>
                <w:color w:val="auto"/>
                <w:w w:val="92"/>
                <w:vertAlign w:val="superscript"/>
              </w:rPr>
              <w:t>(1)</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6"/>
              </w:rPr>
              <w:t>Yield/Rate</w:t>
            </w:r>
            <w:r>
              <w:rPr>
                <w:rFonts w:ascii="Times New Roman" w:cs="Times New Roman" w:eastAsia="Times New Roman" w:hAnsi="Times New Roman"/>
                <w:sz w:val="23"/>
                <w:szCs w:val="23"/>
                <w:b w:val="1"/>
                <w:bCs w:val="1"/>
                <w:color w:val="auto"/>
                <w:w w:val="96"/>
                <w:vertAlign w:val="superscript"/>
              </w:rPr>
              <w:t>(1)</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Volume </w:t>
            </w:r>
            <w:r>
              <w:rPr>
                <w:rFonts w:ascii="Times New Roman" w:cs="Times New Roman" w:eastAsia="Times New Roman" w:hAnsi="Times New Roman"/>
                <w:sz w:val="23"/>
                <w:szCs w:val="23"/>
                <w:b w:val="1"/>
                <w:bCs w:val="1"/>
                <w:color w:val="auto"/>
                <w:w w:val="92"/>
                <w:vertAlign w:val="superscript"/>
              </w:rPr>
              <w:t>(1)</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Yield/Rate</w:t>
            </w:r>
            <w:r>
              <w:rPr>
                <w:rFonts w:ascii="Times New Roman" w:cs="Times New Roman" w:eastAsia="Times New Roman" w:hAnsi="Times New Roman"/>
                <w:sz w:val="23"/>
                <w:szCs w:val="23"/>
                <w:b w:val="1"/>
                <w:bCs w:val="1"/>
                <w:color w:val="auto"/>
                <w:w w:val="96"/>
                <w:vertAlign w:val="superscript"/>
              </w:rPr>
              <w:t>(1)</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 at fair value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leases held for investment at amortized cost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increase (decrease) in interest income on interest-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2"/>
                <w:szCs w:val="22"/>
                <w:color w:val="auto"/>
              </w:rPr>
            </w:pPr>
          </w:p>
        </w:tc>
        <w:tc>
          <w:tcPr>
            <w:tcW w:w="4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earning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Savings and money market accounts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Checking accounts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Interest-bearing deposits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66,735</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interest-bearing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increase (decrease) in interest expense on interest-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Borders>
              <w:bottom w:val="single" w:sz="8" w:color="auto"/>
            </w:tcBorders>
          </w:tcPr>
          <w:p>
            <w:pPr>
              <w:ind w:left="1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bearing liabilities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42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Increase (decrease) in net interest income </w:t>
            </w:r>
            <w:r>
              <w:rPr>
                <w:rFonts w:ascii="Times New Roman" w:cs="Times New Roman" w:eastAsia="Times New Roman" w:hAnsi="Times New Roman"/>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40" w:hanging="332"/>
        <w:spacing w:after="0" w:line="221" w:lineRule="auto"/>
        <w:tabs>
          <w:tab w:leader="none" w:pos="41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Volume and rate changes have been allocated on a consistent basis using the respective percentage changes in average balances and average rates.</w:t>
      </w:r>
    </w:p>
    <w:p>
      <w:pPr>
        <w:ind w:left="400" w:hanging="392"/>
        <w:spacing w:after="0" w:line="238" w:lineRule="auto"/>
        <w:tabs>
          <w:tab w:leader="none" w:pos="40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period amounts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Credit Losses</w:t>
      </w:r>
    </w:p>
    <w:p>
      <w:pPr>
        <w:spacing w:after="0" w:line="2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9"/>
          <w:szCs w:val="19"/>
          <w:color w:val="auto"/>
        </w:rPr>
        <w:t>The allowance for loan and lease losses (ALLL) for lifetime expected losses under CECL on loans and leases HFI at amortized cost is initially recognized as “Provision for credit losses” at the time of origination. The ALLL is estimated using a discounted cash flow (DCF)</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approach, where effective interest rates are used to calculate the net present value (NPV) of expected cash flows.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effective interest rates are calculated based on the periodic interest income received from the loan’s contractual cash flows and the net investment in the loan, which includes deferred origination fees and marketing costs, to provide a constant rate of return over the loan term. The NPV from the DCF approach is then compared to the amortized cost basis of the loans and leases to determine the ALLL. Under the DCF approach, the provision for credit losses in subsequent periods includes a credit loss expense related to the discounting effect due to the passage of time after the initial recognition of the ALLL on originated loans and leases HFI at amortized cost.</w:t>
      </w:r>
    </w:p>
    <w:p>
      <w:pPr>
        <w:spacing w:after="0" w:line="20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The provision for credit losses includes the credit loss expense for loans and leases HFI at amortized cost, available for sale (AFS) securities and unfunded lending commitments. The table below illustrates the composition of the provision for credit losses for each period presented, as well as the loan originations HFI in each period, which is a key driver for credit loss expense: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4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loss expense for loans and leases held for investment</w:t>
            </w:r>
          </w:p>
        </w:tc>
        <w:tc>
          <w:tcPr>
            <w:tcW w:w="14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190,928</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175,430</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243,570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Credit loss expense for securities available for sale</w:t>
            </w:r>
          </w:p>
        </w:tc>
        <w:tc>
          <w:tcPr>
            <w:tcW w:w="14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566</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3,527</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loss benefit for unfunded lending commitments</w:t>
            </w:r>
          </w:p>
        </w:tc>
        <w:tc>
          <w:tcPr>
            <w:tcW w:w="1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50"/>
        </w:trPr>
        <w:tc>
          <w:tcPr>
            <w:tcW w:w="5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Total provision for credit losses</w:t>
            </w:r>
          </w:p>
        </w:tc>
        <w:tc>
          <w:tcPr>
            <w:tcW w:w="14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191,320</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178,267</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$243,565</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592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r>
      <w:tr>
        <w:trPr>
          <w:trHeight w:val="25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Loan originations held for investment</w:t>
            </w:r>
          </w:p>
        </w:tc>
        <w:tc>
          <w:tcPr>
            <w:tcW w:w="14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2,454,743</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1,735,409</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$2,184,095</w:t>
            </w:r>
          </w:p>
        </w:tc>
      </w:tr>
    </w:tbl>
    <w:p>
      <w:pPr>
        <w:spacing w:after="0" w:line="3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provision for credit losses was $191.3 million and $178.3 million for the years ended December 31, 2025 and 2024, respectively, an increase of 7%. The increase was primarily driven by a higher volume of originated loans retained as HFI at amortized cost, partially offset by a shift in the mix of loans toward types with lower expected losses and the impact of an $8.0 million provision recognized in 2024 related to one legacy office loan within our CRE portfolio.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Credit Losses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in the allowance for credit losses (ACL)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Allowance for loan and lease losses:</w:t>
            </w:r>
          </w:p>
        </w:tc>
        <w:tc>
          <w:tcPr>
            <w:tcW w:w="1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Beginning of period</w:t>
            </w: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236,734</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310,387</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327,852</w:t>
            </w:r>
          </w:p>
        </w:tc>
      </w:tr>
      <w:tr>
        <w:trPr>
          <w:trHeight w:val="2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loss expense for loans and leases held for investment</w:t>
            </w:r>
          </w:p>
        </w:tc>
        <w:tc>
          <w:tcPr>
            <w:tcW w:w="1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190,928</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175,430</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243,570</w:t>
            </w:r>
          </w:p>
        </w:tc>
      </w:tr>
      <w:tr>
        <w:trPr>
          <w:trHeight w:val="256"/>
        </w:trPr>
        <w:tc>
          <w:tcPr>
            <w:tcW w:w="57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Charge-offs </w:t>
            </w:r>
            <w:r>
              <w:rPr>
                <w:rFonts w:ascii="Times New Roman" w:cs="Times New Roman" w:eastAsia="Times New Roman" w:hAnsi="Times New Roman"/>
                <w:sz w:val="25"/>
                <w:szCs w:val="25"/>
                <w:color w:val="auto"/>
                <w:vertAlign w:val="superscript"/>
              </w:rPr>
              <w:t>(1)</w:t>
            </w:r>
          </w:p>
        </w:tc>
        <w:tc>
          <w:tcPr>
            <w:tcW w:w="1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(218,874)</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(303,593)</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(281,107)</w:t>
            </w:r>
          </w:p>
        </w:tc>
      </w:tr>
      <w:tr>
        <w:trPr>
          <w:trHeight w:val="257"/>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Recoveries</w:t>
            </w:r>
          </w:p>
        </w:tc>
        <w:tc>
          <w:tcPr>
            <w:tcW w:w="1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66,955</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54,510</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20,072</w:t>
            </w:r>
          </w:p>
        </w:tc>
      </w:tr>
      <w:tr>
        <w:trPr>
          <w:trHeight w:val="250"/>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End of period</w:t>
            </w:r>
          </w:p>
        </w:tc>
        <w:tc>
          <w:tcPr>
            <w:tcW w:w="13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275,743</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236,734</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310,387</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6"/>
        </w:trPr>
        <w:tc>
          <w:tcPr>
            <w:tcW w:w="57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Allowance for securities available for sale:</w:t>
            </w: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Beginning of period</w:t>
            </w:r>
          </w:p>
        </w:tc>
        <w:tc>
          <w:tcPr>
            <w:tcW w:w="1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3,527</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Credit loss expense for securities available for sale</w:t>
            </w:r>
          </w:p>
        </w:tc>
        <w:tc>
          <w:tcPr>
            <w:tcW w:w="1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566</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3,527</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End of period</w:t>
            </w:r>
          </w:p>
        </w:tc>
        <w:tc>
          <w:tcPr>
            <w:tcW w:w="13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4,093</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3,527</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5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5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Reserve for unfunded lending commitments:</w:t>
            </w:r>
          </w:p>
        </w:tc>
        <w:tc>
          <w:tcPr>
            <w:tcW w:w="1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Beginning of period</w:t>
            </w: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1,183</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1,873</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w:t>
            </w:r>
          </w:p>
        </w:tc>
      </w:tr>
      <w:tr>
        <w:trPr>
          <w:trHeight w:val="257"/>
        </w:trPr>
        <w:tc>
          <w:tcPr>
            <w:tcW w:w="5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loss benefit for unfunded lending commitments</w:t>
            </w:r>
          </w:p>
        </w:tc>
        <w:tc>
          <w:tcPr>
            <w:tcW w:w="1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50"/>
        </w:trPr>
        <w:tc>
          <w:tcPr>
            <w:tcW w:w="578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End of period </w:t>
            </w:r>
            <w:r>
              <w:rPr>
                <w:rFonts w:ascii="Times New Roman" w:cs="Times New Roman" w:eastAsia="Times New Roman" w:hAnsi="Times New Roman"/>
                <w:sz w:val="25"/>
                <w:szCs w:val="25"/>
                <w:color w:val="auto"/>
                <w:vertAlign w:val="superscript"/>
              </w:rPr>
              <w:t>(2)</w:t>
            </w:r>
          </w:p>
        </w:tc>
        <w:tc>
          <w:tcPr>
            <w:tcW w:w="13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1,009</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1,183</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1,873</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20" w:hanging="412"/>
        <w:spacing w:after="0" w:line="221" w:lineRule="auto"/>
        <w:tabs>
          <w:tab w:leader="none" w:pos="293"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first quarter of 2025 included an $8.0 million charge-off related to one office loan within our CRE portfolio, which was fully reserved for in prior periods. The CRE office loan portfolio balance was under $35 million as of December 31, 2025.</w:t>
      </w:r>
    </w:p>
    <w:p>
      <w:pPr>
        <w:spacing w:after="0" w:line="39" w:lineRule="exact"/>
        <w:rPr>
          <w:rFonts w:ascii="Times New Roman" w:cs="Times New Roman" w:eastAsia="Times New Roman" w:hAnsi="Times New Roman"/>
          <w:sz w:val="26"/>
          <w:szCs w:val="26"/>
          <w:color w:val="auto"/>
          <w:vertAlign w:val="superscript"/>
        </w:rPr>
      </w:pPr>
    </w:p>
    <w:p>
      <w:pPr>
        <w:ind w:left="420" w:right="840" w:hanging="412"/>
        <w:spacing w:after="0" w:line="227" w:lineRule="auto"/>
        <w:tabs>
          <w:tab w:leader="none" w:pos="293"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Relates to $52.0 million, $105.0 million and $78.1 million of unfunded commitments as of December 31, 2025, 2024 and 2023,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the ALLL: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8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04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Gross allowance for loan and lease losses </w:t>
            </w:r>
            <w:r>
              <w:rPr>
                <w:rFonts w:ascii="Times New Roman" w:cs="Times New Roman" w:eastAsia="Times New Roman" w:hAnsi="Times New Roman"/>
                <w:sz w:val="25"/>
                <w:szCs w:val="25"/>
                <w:color w:val="auto"/>
                <w:vertAlign w:val="superscript"/>
              </w:rPr>
              <w:t>(1)</w:t>
            </w:r>
          </w:p>
        </w:tc>
        <w:tc>
          <w:tcPr>
            <w:tcW w:w="18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312,667</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285,686</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355,773</w:t>
            </w:r>
          </w:p>
        </w:tc>
      </w:tr>
      <w:tr>
        <w:trPr>
          <w:trHeight w:val="250"/>
        </w:trPr>
        <w:tc>
          <w:tcPr>
            <w:tcW w:w="504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Recovery asset value </w:t>
            </w:r>
            <w:r>
              <w:rPr>
                <w:rFonts w:ascii="Times New Roman" w:cs="Times New Roman" w:eastAsia="Times New Roman" w:hAnsi="Times New Roman"/>
                <w:sz w:val="25"/>
                <w:szCs w:val="25"/>
                <w:color w:val="auto"/>
                <w:vertAlign w:val="superscript"/>
              </w:rPr>
              <w:t>(2)</w:t>
            </w:r>
          </w:p>
        </w:tc>
        <w:tc>
          <w:tcPr>
            <w:tcW w:w="1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(36,924)</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(48,952)</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w w:val="99"/>
              </w:rPr>
              <w:t>(45,386)</w:t>
            </w:r>
          </w:p>
        </w:tc>
      </w:tr>
      <w:tr>
        <w:trPr>
          <w:trHeight w:val="275"/>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8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275,743</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236,734</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310,387</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allowance for future estimated net charge-offs on existing portfolio balances.</w:t>
      </w:r>
    </w:p>
    <w:p>
      <w:pPr>
        <w:spacing w:after="0" w:line="60"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a negative allowance for expected recoveries of amounts previously charged-off.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0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loans and leases held for investment</w:t>
            </w:r>
          </w:p>
        </w:tc>
        <w:tc>
          <w:tcPr>
            <w:tcW w:w="15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4,272,812</w:t>
            </w:r>
          </w:p>
        </w:tc>
        <w:tc>
          <w:tcPr>
            <w:tcW w:w="4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4,125,818</w:t>
            </w:r>
          </w:p>
        </w:tc>
        <w:tc>
          <w:tcPr>
            <w:tcW w:w="4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4,850,302</w:t>
            </w:r>
          </w:p>
        </w:tc>
      </w:tr>
      <w:tr>
        <w:trPr>
          <w:trHeight w:val="142"/>
        </w:trPr>
        <w:tc>
          <w:tcPr>
            <w:tcW w:w="4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5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275,743</w:t>
            </w:r>
          </w:p>
        </w:tc>
        <w:tc>
          <w:tcPr>
            <w:tcW w:w="4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236,734</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310,387</w:t>
            </w:r>
          </w:p>
        </w:tc>
      </w:tr>
      <w:tr>
        <w:trPr>
          <w:trHeight w:val="257"/>
        </w:trPr>
        <w:tc>
          <w:tcPr>
            <w:tcW w:w="45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Allowance ratio </w:t>
            </w:r>
            <w:r>
              <w:rPr>
                <w:rFonts w:ascii="Times New Roman" w:cs="Times New Roman" w:eastAsia="Times New Roman" w:hAnsi="Times New Roman"/>
                <w:sz w:val="25"/>
                <w:szCs w:val="25"/>
                <w:color w:val="auto"/>
                <w:vertAlign w:val="superscript"/>
              </w:rPr>
              <w:t>(1)</w:t>
            </w:r>
          </w:p>
        </w:tc>
        <w:tc>
          <w:tcPr>
            <w:tcW w:w="15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6.4 %</w:t>
            </w:r>
          </w:p>
        </w:tc>
      </w:tr>
      <w:tr>
        <w:trPr>
          <w:trHeight w:val="148"/>
        </w:trPr>
        <w:tc>
          <w:tcPr>
            <w:tcW w:w="45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56"/>
        </w:trPr>
        <w:tc>
          <w:tcPr>
            <w:tcW w:w="4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allowance for loan and lease losses</w:t>
            </w: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312,667</w:t>
            </w:r>
          </w:p>
        </w:tc>
        <w:tc>
          <w:tcPr>
            <w:tcW w:w="4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285,686</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355,773</w:t>
            </w:r>
          </w:p>
        </w:tc>
      </w:tr>
      <w:tr>
        <w:trPr>
          <w:trHeight w:val="256"/>
        </w:trPr>
        <w:tc>
          <w:tcPr>
            <w:tcW w:w="4500" w:type="dxa"/>
            <w:vAlign w:val="bottom"/>
            <w:tcBorders>
              <w:bottom w:val="single" w:sz="8" w:color="auto"/>
            </w:tcBorders>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Gross allowance ratio </w:t>
            </w:r>
            <w:r>
              <w:rPr>
                <w:rFonts w:ascii="Times New Roman" w:cs="Times New Roman" w:eastAsia="Times New Roman" w:hAnsi="Times New Roman"/>
                <w:sz w:val="25"/>
                <w:szCs w:val="25"/>
                <w:color w:val="auto"/>
                <w:vertAlign w:val="superscript"/>
              </w:rPr>
              <w:t>(1)</w:t>
            </w:r>
          </w:p>
        </w:tc>
        <w:tc>
          <w:tcPr>
            <w:tcW w:w="15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4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7.3 %</w:t>
            </w:r>
          </w:p>
        </w:tc>
      </w:tr>
    </w:tbl>
    <w:p>
      <w:pPr>
        <w:spacing w:after="0" w:line="72" w:lineRule="exact"/>
        <w:rPr>
          <w:sz w:val="20"/>
          <w:szCs w:val="20"/>
          <w:color w:val="auto"/>
        </w:rPr>
      </w:pPr>
    </w:p>
    <w:p>
      <w:pPr>
        <w:ind w:left="280" w:hanging="272"/>
        <w:spacing w:after="0"/>
        <w:tabs>
          <w:tab w:leader="none" w:pos="280"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ALLL or gross ALLL, where applicable, to total loans and leases held for investment at amortized cost.</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Charge-Offs</w:t>
      </w:r>
    </w:p>
    <w:p>
      <w:pPr>
        <w:spacing w:after="0" w:line="26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The following table presents information regarding average loan and lease balances, net charge-offs and the ratio of net charge-offs to average outstanding loans and leases HFI at amortized cost, net, during the period. Net charge-offs are impacted by the expected timing of the charge-offs, anticipated recoveries and the age of the overall portfolio.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Average loans and leases held for investment at amortized cost</w:t>
            </w:r>
          </w:p>
        </w:tc>
        <w:tc>
          <w:tcPr>
            <w:tcW w:w="9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4,234,831</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4,294,414</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5,294,683</w:t>
            </w:r>
          </w:p>
        </w:tc>
      </w:tr>
      <w:tr>
        <w:trPr>
          <w:trHeight w:val="257"/>
        </w:trPr>
        <w:tc>
          <w:tcPr>
            <w:tcW w:w="5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charge-offs</w:t>
            </w:r>
          </w:p>
        </w:tc>
        <w:tc>
          <w:tcPr>
            <w:tcW w:w="940" w:type="dxa"/>
            <w:vAlign w:val="bottom"/>
          </w:tcPr>
          <w:p>
            <w:pPr>
              <w:spacing w:after="0"/>
              <w:rPr>
                <w:sz w:val="22"/>
                <w:szCs w:val="22"/>
                <w:color w:val="auto"/>
              </w:rPr>
            </w:pPr>
          </w:p>
        </w:tc>
        <w:tc>
          <w:tcPr>
            <w:tcW w:w="132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151,919</w:t>
            </w:r>
          </w:p>
        </w:tc>
        <w:tc>
          <w:tcPr>
            <w:tcW w:w="400" w:type="dxa"/>
            <w:vAlign w:val="bottom"/>
          </w:tcPr>
          <w:p>
            <w:pPr>
              <w:spacing w:after="0"/>
              <w:rPr>
                <w:sz w:val="22"/>
                <w:szCs w:val="22"/>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249,083</w:t>
            </w:r>
          </w:p>
        </w:tc>
        <w:tc>
          <w:tcPr>
            <w:tcW w:w="400" w:type="dxa"/>
            <w:vAlign w:val="bottom"/>
          </w:tcPr>
          <w:p>
            <w:pPr>
              <w:spacing w:after="0"/>
              <w:rPr>
                <w:sz w:val="22"/>
                <w:szCs w:val="22"/>
                <w:color w:val="auto"/>
              </w:rPr>
            </w:pPr>
          </w:p>
        </w:tc>
        <w:tc>
          <w:tcPr>
            <w:tcW w:w="12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261,035</w:t>
            </w:r>
          </w:p>
        </w:tc>
      </w:tr>
      <w:tr>
        <w:trPr>
          <w:trHeight w:val="256"/>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charge-off ratio</w:t>
            </w:r>
          </w:p>
        </w:tc>
        <w:tc>
          <w:tcPr>
            <w:tcW w:w="9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w:t>
      </w:r>
    </w:p>
    <w:p>
      <w:pPr>
        <w:spacing w:after="0" w:line="2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Loans and leases are generally placed on nonaccrual status when contractually past due 90 days or more, or earlier if management believes that the probability of collection does not warrant further accrual. Unsecured personal loans are generally charged-off when a borrower is contractually 120 days past due.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nonaccrual loans and leases: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top w:val="single" w:sz="8" w:color="auto"/>
              <w:bottom w:val="single" w:sz="8" w:color="auto"/>
            </w:tcBorders>
          </w:tcPr>
          <w:p>
            <w:pPr>
              <w:spacing w:after="0"/>
              <w:rPr>
                <w:sz w:val="23"/>
                <w:szCs w:val="23"/>
                <w:color w:val="auto"/>
              </w:rPr>
            </w:pPr>
          </w:p>
        </w:tc>
        <w:tc>
          <w:tcPr>
            <w:tcW w:w="170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Nonaccrual loans and leases held for investment at amortized cost</w:t>
            </w:r>
          </w:p>
        </w:tc>
        <w:tc>
          <w:tcPr>
            <w:tcW w:w="12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60,432</w:t>
            </w:r>
          </w:p>
        </w:tc>
        <w:tc>
          <w:tcPr>
            <w:tcW w:w="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72,304</w:t>
            </w:r>
          </w:p>
        </w:tc>
      </w:tr>
      <w:tr>
        <w:trPr>
          <w:trHeight w:val="257"/>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of total loans and leases held for investment</w:t>
            </w:r>
          </w:p>
        </w:tc>
        <w:tc>
          <w:tcPr>
            <w:tcW w:w="1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5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1.8 %</w:t>
            </w:r>
          </w:p>
        </w:tc>
      </w:tr>
    </w:tbl>
    <w:p>
      <w:pPr>
        <w:spacing w:after="0" w:line="36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color w:val="auto"/>
        </w:rPr>
        <w:t>For additional information on the ACL and nonaccrual loans and leases, see “</w:t>
      </w:r>
      <w:r>
        <w:rPr>
          <w:rFonts w:ascii="Times New Roman" w:cs="Times New Roman" w:eastAsia="Times New Roman" w:hAnsi="Times New Roman"/>
          <w:sz w:val="20"/>
          <w:szCs w:val="20"/>
          <w:i w:val="1"/>
          <w:iCs w:val="1"/>
          <w:color w:val="auto"/>
        </w:rPr>
        <w:t>Item 8. Financial Statements and Supplementary Data – Notes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 Consolidated Financial Statements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Note 1. Summary of Significant Accounting Policies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Note 5. Loans and Leases Held for Investment at Amortized Cost, Net of Allowance for Loan and Lease Losses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Expense</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Non-interest expense primarily consists of (i) compensation and benefits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include salaries and wages, benefits and stock-based compensation expense, (ii) marketing, which includes costs attributable to borrower and deposit customer acquisition efforts and building general brand awareness, (iii) equipment and software, (iv) depreciation and amortization, (v) professional services, which primarily consist of consulting fees, and (vi) occupancy, which includes rent expense and all other costs related to occupying our office spaces.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6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46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5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Non-interest expense:</w:t>
            </w:r>
          </w:p>
        </w:tc>
        <w:tc>
          <w:tcPr>
            <w:tcW w:w="1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6"/>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241,846</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232,158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9,688</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5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Marketing</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149,211</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100,402</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48,809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57"/>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Equipment and software</w:t>
            </w:r>
          </w:p>
        </w:tc>
        <w:tc>
          <w:tcPr>
            <w:tcW w:w="16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57,014</w:t>
            </w: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51,194</w:t>
            </w:r>
          </w:p>
        </w:tc>
        <w:tc>
          <w:tcPr>
            <w:tcW w:w="240" w:type="dxa"/>
            <w:vAlign w:val="bottom"/>
          </w:tcPr>
          <w:p>
            <w:pPr>
              <w:spacing w:after="0"/>
              <w:rPr>
                <w:sz w:val="22"/>
                <w:szCs w:val="22"/>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5,820</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5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62,889</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58,834</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4,055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57"/>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Professional services</w:t>
            </w:r>
          </w:p>
        </w:tc>
        <w:tc>
          <w:tcPr>
            <w:tcW w:w="16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42,339</w:t>
            </w: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32,045</w:t>
            </w:r>
          </w:p>
        </w:tc>
        <w:tc>
          <w:tcPr>
            <w:tcW w:w="240" w:type="dxa"/>
            <w:vAlign w:val="bottom"/>
          </w:tcPr>
          <w:p>
            <w:pPr>
              <w:spacing w:after="0"/>
              <w:rPr>
                <w:sz w:val="22"/>
                <w:szCs w:val="22"/>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10,294</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25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Occupancy</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19,834</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15,798</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4,036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26 %</w:t>
            </w:r>
          </w:p>
        </w:tc>
      </w:tr>
      <w:tr>
        <w:trPr>
          <w:trHeight w:val="25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non-interest expense</w:t>
            </w:r>
          </w:p>
        </w:tc>
        <w:tc>
          <w:tcPr>
            <w:tcW w:w="1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57,449</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53,247</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4,202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8 %</w:t>
            </w:r>
          </w:p>
        </w:tc>
      </w:tr>
      <w:tr>
        <w:trPr>
          <w:trHeight w:val="275"/>
        </w:trPr>
        <w:tc>
          <w:tcPr>
            <w:tcW w:w="3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b w:val="1"/>
                <w:bCs w:val="1"/>
                <w:color w:val="auto"/>
              </w:rPr>
              <w:t>Total non-interest expense</w:t>
            </w:r>
          </w:p>
        </w:tc>
        <w:tc>
          <w:tcPr>
            <w:tcW w:w="16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630,582</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543,678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86,904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6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Change ($)</w:t>
            </w:r>
          </w:p>
        </w:tc>
        <w:tc>
          <w:tcPr>
            <w:tcW w:w="14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Change (%)</w:t>
            </w:r>
          </w:p>
        </w:tc>
      </w:tr>
      <w:tr>
        <w:trPr>
          <w:trHeight w:val="25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Non-interest expense:</w:t>
            </w:r>
          </w:p>
        </w:tc>
        <w:tc>
          <w:tcPr>
            <w:tcW w:w="1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57"/>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232,158</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261,948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(29,790)</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Marketing</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100,402</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93,840</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6,562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57"/>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Equipment and software</w:t>
            </w:r>
          </w:p>
        </w:tc>
        <w:tc>
          <w:tcPr>
            <w:tcW w:w="16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51,194</w:t>
            </w: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53,485</w:t>
            </w:r>
          </w:p>
        </w:tc>
        <w:tc>
          <w:tcPr>
            <w:tcW w:w="24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(2,291)</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58,834</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47,195</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11,639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57"/>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Professional services</w:t>
            </w:r>
          </w:p>
        </w:tc>
        <w:tc>
          <w:tcPr>
            <w:tcW w:w="16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32,045</w:t>
            </w: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35,173</w:t>
            </w:r>
          </w:p>
        </w:tc>
        <w:tc>
          <w:tcPr>
            <w:tcW w:w="24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(3,128)</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Occupancy</w:t>
            </w:r>
          </w:p>
        </w:tc>
        <w:tc>
          <w:tcPr>
            <w:tcW w:w="16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15,798</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17,532</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(1,734)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non-interest expense</w:t>
            </w:r>
          </w:p>
        </w:tc>
        <w:tc>
          <w:tcPr>
            <w:tcW w:w="1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53,247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57,264</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(4,017)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75"/>
        </w:trPr>
        <w:tc>
          <w:tcPr>
            <w:tcW w:w="3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b w:val="1"/>
                <w:bCs w:val="1"/>
                <w:color w:val="auto"/>
              </w:rPr>
              <w:t>Total non-interest expense</w:t>
            </w:r>
          </w:p>
        </w:tc>
        <w:tc>
          <w:tcPr>
            <w:tcW w:w="16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543,678</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566,437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(22,759)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right="320"/>
        <w:spacing w:after="0" w:line="283" w:lineRule="auto"/>
        <w:rPr>
          <w:sz w:val="20"/>
          <w:szCs w:val="20"/>
          <w:color w:val="auto"/>
        </w:rPr>
      </w:pPr>
      <w:r>
        <w:rPr>
          <w:rFonts w:ascii="Times New Roman" w:cs="Times New Roman" w:eastAsia="Times New Roman" w:hAnsi="Times New Roman"/>
          <w:sz w:val="20"/>
          <w:szCs w:val="20"/>
          <w:color w:val="auto"/>
        </w:rPr>
        <w:t>Compensation and benefits expense increased $9.7 million, or 4%, for the year ended December 31, 2025 compared to the same period in 2024. The increase was primarily due to an increase in headcount.</w:t>
      </w:r>
    </w:p>
    <w:p>
      <w:pPr>
        <w:spacing w:after="0" w:line="17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color w:val="auto"/>
        </w:rPr>
        <w:t>Marketing expense increased $48.8 million, or 49%, for the year ended December 31, 2025 compared to the same period in 2024. The increase was primarily due to an increase in variable marketing expenses based on higher origination volume as well as the resumption of certain marketing initiatives.</w:t>
      </w:r>
    </w:p>
    <w:p>
      <w:pPr>
        <w:spacing w:after="0" w:line="18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Equipment and software expense increased $5.8 million, or 11%, for the year ended December 31, 2025 compared to the same period in 2024. The increase was primarily due to an increase in software license expense and cloud services.</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Depreciation and amortization expense increased $4.1 million, or 7%, for the year ended December 31, 2025 compared to the same period in 2024. The increase was primarily due to an increase in the amortization of internally-developed software placed into service in 2025, partially offset by a decrease in impairment expense for internally-developed software compared to the prior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Professional services expense increased $10.3 million, or 32%, for the year ended December 31, 2025 compared to the same period in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increase was primarily due to an increase in business consulting services.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jc w:val="both"/>
        <w:ind w:right="620"/>
        <w:spacing w:after="0" w:line="310" w:lineRule="auto"/>
        <w:rPr>
          <w:sz w:val="20"/>
          <w:szCs w:val="20"/>
          <w:color w:val="auto"/>
        </w:rPr>
      </w:pPr>
      <w:r>
        <w:rPr>
          <w:rFonts w:ascii="Times New Roman" w:cs="Times New Roman" w:eastAsia="Times New Roman" w:hAnsi="Times New Roman"/>
          <w:sz w:val="19"/>
          <w:szCs w:val="19"/>
          <w:color w:val="auto"/>
        </w:rPr>
        <w:t>Occupancy expense increased $4.0 million, or 26%, for the year ended December 31, 2025 compared to the same period in 2024. The increase was primarily related to operating expenses associated with the office building purchased during the second quarter of 2025.</w:t>
      </w:r>
    </w:p>
    <w:p>
      <w:pPr>
        <w:spacing w:after="0" w:line="15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Other non-interest expense increased $4.2 million, or 8%, for the year ended December 31, 2025 compared to the same period in 2024. The increase was primarily due to an increase in miscellaneous operating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For the years ended December 31, 2025 and 2024, we recorded an income tax expense of $41.3 million and $13.7 million, representing an effective tax rate of 23.3% and 21.1%, respectively. The effective tax rate for the year ended December 31, 2025 differs from the statutory rate due to state taxes, the favorable impact of recurring tax credits, changes in unrecognized tax benefits related to prior year tax credits, equity-based compensation, and the unfavorable impact of the non-deductible portions of executive compensation. The increase in effective tax rate for the year ended December 31, 2025 compared to the same period in 2024 was primarily due to the remeasurement of deferred tax assets because of the decrease in combined state tax rate. On June 27, 2025, California Senate Bill 132 was signed into law, requiring that banks and financial companies transition from an equally weighted three-factor apportionment formula to a single-sales-factor apportionment formula, effective for tax years beginning in 2025. Other year-over-year changes in rate reconciliation items largely offset each other.</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For the year ending December 31, 2023, we recorded a tax expense of $15.7 million representing an effective tax rate of 28.7%. The decrease in effective tax rate for the year ended December 31, 2024 compared to the same period in 2023 was primarily due to favorable changes related to windfalls and shortfalls related to equity compensation.</w:t>
      </w:r>
    </w:p>
    <w:p>
      <w:pPr>
        <w:spacing w:after="0" w:line="20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As of December 31, 2025, we maintained a valuation allowance of $48.0 million related to certain state net operating loss carryforwards (NOLs) and state tax credit carryforwards. The realization and timing of any remaining state NOLs and state tax credit carryforwards is uncertain and may expire before being utilized, based primarily on the allocation of taxable income constraints to the Parent and not related to the earnings of the Company. Changes to deferred tax asset valuation allowances and liabilities related to uncertain tax positions are recorded as current period income tax expense or benefit.</w:t>
      </w:r>
    </w:p>
    <w:p>
      <w:pPr>
        <w:spacing w:after="0" w:line="20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Income taxes are recorded on a separate entity basis whereby each operating segment determines income tax expense or benefit as if it filed a separate tax return. Differences between separate entity and consolidated tax returns are eliminated upon consolidation.</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For the year ended December 31, 2025, OBBBA did not impact our effective tax rate; however, certain OBBBA provisions, including enhanced expensing, reduced current taxes payable. OBBBA has multiple effective dates, and we will continue to monitor developments and evaluate potential impacts on future periods.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Reportable Segments</w:t>
      </w:r>
    </w:p>
    <w:p>
      <w:pPr>
        <w:spacing w:after="0" w:line="24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We define operating segments to be components of the Company for which discrete financial information is evaluated regularly by the Chief Operating Decision Maker (CODM) to allocate resources and evaluate financial performance. The measure of segment profit used by the CODM in this evaluation is net income. The CODM consists of our Chief Executive Officer and Chief Financial Officer. This information is reviewed according to the legal organizational structure of our operations with products and services presented separately for the parent bank holding company and its wholly-owned subsidiary, LC Bank, which are both considered reportable segments. Income taxes are recorded on a separate entity basis whereby each operating segment determines income tax expense or benefit as if it filed a separate tax return.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LendingClub Bank</w:t>
      </w:r>
    </w:p>
    <w:p>
      <w:pPr>
        <w:spacing w:after="0" w:line="2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The LC Bank operating segment represents the national bank legal entity and reflects operating activities after its formation. This segment provides a full complement of financial products and solutions, including loans and deposits. It originates loans to individuals and businesses, retains loans for investment, sells loans to marketplace investors and manages relationships with deposit 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LendingClub Corporation (Parent Only)</w:t>
      </w:r>
    </w:p>
    <w:p>
      <w:pPr>
        <w:spacing w:after="0" w:line="2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The LendingClub Corporation (Parent only) operating segment represents the holding company legal entity and predominately reflects the operations of the Company prior to the formation of LC Bank. This activity includes, but is not limited to, servicing fee revenue on purchased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servicing assets, and interest income and interest expense related to transactions entered into prior to LC Bank’s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information for the segments is presented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LendingClub</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LendingClub</w:t>
            </w: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gridSpan w:val="5"/>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 Reportable Segments</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Bank</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Corporation (Parent only)</w:t>
            </w:r>
          </w:p>
        </w:tc>
        <w:tc>
          <w:tcPr>
            <w:tcW w:w="160" w:type="dxa"/>
            <w:vAlign w:val="bottom"/>
          </w:tcPr>
          <w:p>
            <w:pPr>
              <w:spacing w:after="0"/>
              <w:rPr>
                <w:sz w:val="18"/>
                <w:szCs w:val="18"/>
                <w:color w:val="auto"/>
              </w:rPr>
            </w:pPr>
          </w:p>
        </w:tc>
        <w:tc>
          <w:tcPr>
            <w:tcW w:w="29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Marketplace 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303,930</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176,921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29,613</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36,595</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333,543</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213,516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248,198</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52,050</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53,643</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74,684</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7,472</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9,038</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59,522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62,681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84,187</w:t>
            </w:r>
          </w:p>
        </w:tc>
        <w:tc>
          <w:tcPr>
            <w:tcW w:w="0" w:type="dxa"/>
            <w:vAlign w:val="bottom"/>
          </w:tcPr>
          <w:p>
            <w:pPr>
              <w:spacing w:after="0"/>
              <w:rPr>
                <w:sz w:val="1"/>
                <w:szCs w:val="1"/>
                <w:color w:val="auto"/>
              </w:rPr>
            </w:pPr>
          </w:p>
        </w:tc>
      </w:tr>
      <w:tr>
        <w:trPr>
          <w:trHeight w:val="158"/>
        </w:trPr>
        <w:tc>
          <w:tcPr>
            <w:tcW w:w="182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Total non-interest</w:t>
            </w:r>
          </w:p>
        </w:tc>
        <w:tc>
          <w:tcPr>
            <w:tcW w:w="200" w:type="dxa"/>
            <w:vAlign w:val="bottom"/>
          </w:tcPr>
          <w:p>
            <w:pPr>
              <w:spacing w:after="0"/>
              <w:rPr>
                <w:sz w:val="13"/>
                <w:szCs w:val="13"/>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355,980</w:t>
            </w:r>
          </w:p>
        </w:tc>
        <w:tc>
          <w:tcPr>
            <w:tcW w:w="260" w:type="dxa"/>
            <w:vAlign w:val="bottom"/>
          </w:tcPr>
          <w:p>
            <w:pPr>
              <w:spacing w:after="0"/>
              <w:rPr>
                <w:sz w:val="13"/>
                <w:szCs w:val="13"/>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230,564</w:t>
            </w: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281,065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37,085</w:t>
            </w:r>
          </w:p>
        </w:tc>
        <w:tc>
          <w:tcPr>
            <w:tcW w:w="26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45,633</w:t>
            </w: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393,065</w:t>
            </w:r>
          </w:p>
        </w:tc>
        <w:tc>
          <w:tcPr>
            <w:tcW w:w="240" w:type="dxa"/>
            <w:vAlign w:val="bottom"/>
          </w:tcPr>
          <w:p>
            <w:pPr>
              <w:spacing w:after="0"/>
              <w:rPr>
                <w:sz w:val="13"/>
                <w:szCs w:val="13"/>
                <w:color w:val="auto"/>
              </w:rPr>
            </w:pPr>
          </w:p>
        </w:tc>
        <w:tc>
          <w:tcPr>
            <w:tcW w:w="8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276,197</w:t>
            </w:r>
          </w:p>
        </w:tc>
        <w:tc>
          <w:tcPr>
            <w:tcW w:w="2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332,385</w:t>
            </w:r>
          </w:p>
        </w:tc>
        <w:tc>
          <w:tcPr>
            <w:tcW w:w="0" w:type="dxa"/>
            <w:vAlign w:val="bottom"/>
          </w:tcPr>
          <w:p>
            <w:pPr>
              <w:spacing w:after="0"/>
              <w:rPr>
                <w:sz w:val="1"/>
                <w:szCs w:val="1"/>
                <w:color w:val="auto"/>
              </w:rPr>
            </w:pPr>
          </w:p>
        </w:tc>
      </w:tr>
      <w:tr>
        <w:trPr>
          <w:trHeight w:val="214"/>
        </w:trPr>
        <w:tc>
          <w:tcPr>
            <w:tcW w:w="1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18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960,714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902,741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961,543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907,958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832,630</w:t>
            </w:r>
          </w:p>
        </w:tc>
        <w:tc>
          <w:tcPr>
            <w:tcW w:w="0" w:type="dxa"/>
            <w:vAlign w:val="bottom"/>
          </w:tcPr>
          <w:p>
            <w:pPr>
              <w:spacing w:after="0"/>
              <w:rPr>
                <w:sz w:val="1"/>
                <w:szCs w:val="1"/>
                <w:color w:val="auto"/>
              </w:rPr>
            </w:pPr>
          </w:p>
        </w:tc>
      </w:tr>
      <w:tr>
        <w:trPr>
          <w:trHeight w:val="213"/>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(335,871)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(373,219)</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(266,218)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(335,871)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(373,917)</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(270,792)</w:t>
            </w: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624,843</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529,522</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551,988</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4,519</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625,672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534,041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561,838</w:t>
            </w:r>
          </w:p>
        </w:tc>
        <w:tc>
          <w:tcPr>
            <w:tcW w:w="0" w:type="dxa"/>
            <w:vAlign w:val="bottom"/>
          </w:tcPr>
          <w:p>
            <w:pPr>
              <w:spacing w:after="0"/>
              <w:rPr>
                <w:sz w:val="1"/>
                <w:szCs w:val="1"/>
                <w:color w:val="auto"/>
              </w:rPr>
            </w:pPr>
          </w:p>
        </w:tc>
      </w:tr>
      <w:tr>
        <w:trPr>
          <w:trHeight w:val="76"/>
        </w:trPr>
        <w:tc>
          <w:tcPr>
            <w:tcW w:w="18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980,823</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760,086</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833,053</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37,914</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50,152</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1,018,737</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810,238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894,223</w:t>
            </w: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(243,565)</w:t>
            </w: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(235,289)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(225,620)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(241,846)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(232,158)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(261,948)</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and software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(53,485)</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Depreciation and</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(58,277)</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(62,889)</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(58,834)</w:t>
            </w:r>
          </w:p>
        </w:tc>
        <w:tc>
          <w:tcPr>
            <w:tcW w:w="2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(35,173)</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(17,532)</w:t>
            </w:r>
          </w:p>
        </w:tc>
        <w:tc>
          <w:tcPr>
            <w:tcW w:w="0" w:type="dxa"/>
            <w:vAlign w:val="bottom"/>
          </w:tcPr>
          <w:p>
            <w:pPr>
              <w:spacing w:after="0"/>
              <w:rPr>
                <w:sz w:val="1"/>
                <w:szCs w:val="1"/>
                <w:color w:val="auto"/>
              </w:rPr>
            </w:pPr>
          </w:p>
        </w:tc>
      </w:tr>
      <w:tr>
        <w:trPr>
          <w:trHeight w:val="213"/>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(86,868)</w:t>
            </w:r>
          </w:p>
        </w:tc>
        <w:tc>
          <w:tcPr>
            <w:tcW w:w="0" w:type="dxa"/>
            <w:vAlign w:val="bottom"/>
          </w:tcPr>
          <w:p>
            <w:pPr>
              <w:spacing w:after="0"/>
              <w:rPr>
                <w:sz w:val="1"/>
                <w:szCs w:val="1"/>
                <w:color w:val="auto"/>
              </w:rPr>
            </w:pPr>
          </w:p>
        </w:tc>
      </w:tr>
      <w:tr>
        <w:trPr>
          <w:trHeight w:val="158"/>
        </w:trPr>
        <w:tc>
          <w:tcPr>
            <w:tcW w:w="1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Total non-interest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(616,351)</w:t>
            </w: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(521,318)</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(45,587)</w:t>
            </w:r>
          </w:p>
        </w:tc>
        <w:tc>
          <w:tcPr>
            <w:tcW w:w="2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(650,471)</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(566,905)</w:t>
            </w: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(596,041)</w:t>
            </w:r>
          </w:p>
        </w:tc>
        <w:tc>
          <w:tcPr>
            <w:tcW w:w="0" w:type="dxa"/>
            <w:vAlign w:val="bottom"/>
          </w:tcPr>
          <w:p>
            <w:pPr>
              <w:spacing w:after="0"/>
              <w:rPr>
                <w:sz w:val="1"/>
                <w:szCs w:val="1"/>
                <w:color w:val="auto"/>
              </w:rPr>
            </w:pPr>
          </w:p>
        </w:tc>
      </w:tr>
      <w:tr>
        <w:trPr>
          <w:trHeight w:val="214"/>
        </w:trPr>
        <w:tc>
          <w:tcPr>
            <w:tcW w:w="1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(41,502)</w:t>
            </w:r>
          </w:p>
        </w:tc>
        <w:tc>
          <w:tcPr>
            <w:tcW w:w="2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(41,269)</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(13,736)</w:t>
            </w:r>
          </w:p>
        </w:tc>
        <w:tc>
          <w:tcPr>
            <w:tcW w:w="2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(15,678)</w:t>
            </w:r>
          </w:p>
        </w:tc>
        <w:tc>
          <w:tcPr>
            <w:tcW w:w="0" w:type="dxa"/>
            <w:vAlign w:val="bottom"/>
          </w:tcPr>
          <w:p>
            <w:pPr>
              <w:spacing w:after="0"/>
              <w:rPr>
                <w:sz w:val="1"/>
                <w:szCs w:val="1"/>
                <w:color w:val="auto"/>
              </w:rPr>
            </w:pPr>
          </w:p>
        </w:tc>
      </w:tr>
      <w:tr>
        <w:trPr>
          <w:trHeight w:val="213"/>
        </w:trPr>
        <w:tc>
          <w:tcPr>
            <w:tcW w:w="1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benefit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Net income </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131,650</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47,677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34,581</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135,677</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51,330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143,566</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54,302</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143,566</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54,302</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hanging="272"/>
        <w:spacing w:after="0"/>
        <w:tabs>
          <w:tab w:leader="none" w:pos="280" w:val="left"/>
        </w:tabs>
        <w:numPr>
          <w:ilvl w:val="0"/>
          <w:numId w:val="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Total net income from reportable segments reflects net income on a consolidated basis.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14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26"/>
              <w:spacing w:after="0"/>
              <w:rPr>
                <w:sz w:val="20"/>
                <w:szCs w:val="20"/>
                <w:color w:val="auto"/>
              </w:rPr>
            </w:pPr>
            <w:r>
              <w:rPr>
                <w:rFonts w:ascii="Times New Roman" w:cs="Times New Roman" w:eastAsia="Times New Roman" w:hAnsi="Times New Roman"/>
                <w:sz w:val="19"/>
                <w:szCs w:val="19"/>
                <w:b w:val="1"/>
                <w:bCs w:val="1"/>
                <w:color w:val="auto"/>
              </w:rPr>
              <w:t>2025</w:t>
            </w:r>
          </w:p>
        </w:tc>
        <w:tc>
          <w:tcPr>
            <w:tcW w:w="4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9"/>
                <w:szCs w:val="19"/>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3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revenue – reportable segments</w:t>
            </w:r>
          </w:p>
        </w:tc>
        <w:tc>
          <w:tcPr>
            <w:tcW w:w="14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1,018,737</w:t>
            </w:r>
          </w:p>
        </w:tc>
        <w:tc>
          <w:tcPr>
            <w:tcW w:w="48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810,238</w:t>
            </w:r>
          </w:p>
        </w:tc>
        <w:tc>
          <w:tcPr>
            <w:tcW w:w="5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894,223</w:t>
            </w:r>
          </w:p>
        </w:tc>
      </w:tr>
      <w:tr>
        <w:trPr>
          <w:trHeight w:val="24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Intercompany eliminations</w:t>
            </w:r>
          </w:p>
        </w:tc>
        <w:tc>
          <w:tcPr>
            <w:tcW w:w="14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(19,889)</w:t>
            </w:r>
          </w:p>
        </w:tc>
        <w:tc>
          <w:tcPr>
            <w:tcW w:w="4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(23,227)</w:t>
            </w:r>
          </w:p>
        </w:tc>
        <w:tc>
          <w:tcPr>
            <w:tcW w:w="5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9"/>
                <w:szCs w:val="19"/>
                <w:color w:val="auto"/>
              </w:rPr>
              <w:t>(29,604)</w:t>
            </w:r>
          </w:p>
        </w:tc>
      </w:tr>
      <w:tr>
        <w:trPr>
          <w:trHeight w:val="261"/>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revenue – consolidated</w:t>
            </w:r>
          </w:p>
        </w:tc>
        <w:tc>
          <w:tcPr>
            <w:tcW w:w="140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998,848</w:t>
            </w:r>
          </w:p>
        </w:tc>
        <w:tc>
          <w:tcPr>
            <w:tcW w:w="48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787,011</w:t>
            </w:r>
          </w:p>
        </w:tc>
        <w:tc>
          <w:tcPr>
            <w:tcW w:w="50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9"/>
                <w:szCs w:val="19"/>
                <w:color w:val="auto"/>
              </w:rPr>
              <w:t>864,619</w:t>
            </w: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An analysis of our results of operations and material drivers and trends of the financial results of the segments presented above are consistent with those provided on a consolidated basis in “</w:t>
      </w:r>
      <w:r>
        <w:rPr>
          <w:rFonts w:ascii="Times New Roman" w:cs="Times New Roman" w:eastAsia="Times New Roman" w:hAnsi="Times New Roman"/>
          <w:sz w:val="20"/>
          <w:szCs w:val="20"/>
          <w:i w:val="1"/>
          <w:iCs w:val="1"/>
          <w:color w:val="auto"/>
        </w:rPr>
        <w:t>Results of Operations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To supplement our financial statements, which are prepared and presented in accordance with GAAP, we use the following non-GAAP financial measures: Pre-Provision Net Revenue (PPNR), Tangible Book Value (TBV) Per Common Share, and Return on Tangible Common Equity (ROTCE). Our non-GAAP financial measures have limitations as analytical tools and you should not consider them in isolation or as a substitute for an analysis of our results under GAAP.</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We believe these non-GAAP financial measures provide management and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w:t>
      </w:r>
    </w:p>
    <w:p>
      <w:pPr>
        <w:spacing w:after="0" w:line="208"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9"/>
          <w:szCs w:val="19"/>
          <w:color w:val="auto"/>
        </w:rPr>
        <w:t>We believe PPNR, is an important measure because it reflects the underlying financial performance of our business operations. PPNR is a non-GAAP financial measure calculated by subtracting the provision for credit losses and income tax benefit/expense from net income.</w:t>
      </w:r>
    </w:p>
    <w:p>
      <w:pPr>
        <w:spacing w:after="0" w:line="17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We believe TBV Per Common Share is an important measure used to evaluate the Company’s use of equity. TBV Per Common Share is a non-GAAP financial measure representing tangible common equity for the period (common equity reduced by goodwill and customer relationship intangible assets), divided by the ending number of common shares issued and outstanding.</w:t>
      </w:r>
    </w:p>
    <w:p>
      <w:pPr>
        <w:spacing w:after="0" w:line="20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We believe ROTCE is an important measure because it reflects the Company's ability to generate income from its core assets. ROTCE is a non-GAAP financial measure calculated by dividing net income by the average tangible common equity for the applicable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provide a reconciliation of PPNR to the nearest GAAP measure: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21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GAAP Net income</w:t>
            </w:r>
          </w:p>
        </w:tc>
        <w:tc>
          <w:tcPr>
            <w:tcW w:w="2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4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Less: Provision for credit losses</w:t>
            </w:r>
          </w:p>
        </w:tc>
        <w:tc>
          <w:tcPr>
            <w:tcW w:w="2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(191,320)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(178,267)</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(243,565)</w:t>
            </w:r>
          </w:p>
        </w:tc>
      </w:tr>
      <w:tr>
        <w:trPr>
          <w:trHeight w:val="256"/>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Income tax expense</w:t>
            </w:r>
          </w:p>
        </w:tc>
        <w:tc>
          <w:tcPr>
            <w:tcW w:w="2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(41,269)</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(15,678)</w:t>
            </w:r>
          </w:p>
        </w:tc>
      </w:tr>
      <w:tr>
        <w:trPr>
          <w:trHeight w:val="25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Pre-provision net revenue</w:t>
            </w:r>
          </w:p>
        </w:tc>
        <w:tc>
          <w:tcPr>
            <w:tcW w:w="2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368,266</w:t>
            </w:r>
          </w:p>
        </w:tc>
        <w:tc>
          <w:tcPr>
            <w:tcW w:w="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243,333</w:t>
            </w:r>
          </w:p>
        </w:tc>
        <w:tc>
          <w:tcPr>
            <w:tcW w:w="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298,182</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21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Non-interest income</w:t>
            </w:r>
          </w:p>
        </w:tc>
        <w:tc>
          <w:tcPr>
            <w:tcW w:w="21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373,176</w:t>
            </w:r>
          </w:p>
        </w:tc>
        <w:tc>
          <w:tcPr>
            <w:tcW w:w="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252,970</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302,781</w:t>
            </w:r>
          </w:p>
        </w:tc>
      </w:tr>
      <w:tr>
        <w:trPr>
          <w:trHeight w:val="257"/>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interest income</w:t>
            </w:r>
          </w:p>
        </w:tc>
        <w:tc>
          <w:tcPr>
            <w:tcW w:w="2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625,672</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534,041</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561,838</w:t>
            </w:r>
          </w:p>
        </w:tc>
      </w:tr>
      <w:tr>
        <w:trPr>
          <w:trHeight w:val="25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net revenue</w:t>
            </w:r>
          </w:p>
        </w:tc>
        <w:tc>
          <w:tcPr>
            <w:tcW w:w="2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998,848</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787,011</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864,619</w:t>
            </w:r>
          </w:p>
        </w:tc>
      </w:tr>
      <w:tr>
        <w:trPr>
          <w:trHeight w:val="25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Non-interest expense</w:t>
            </w:r>
          </w:p>
        </w:tc>
        <w:tc>
          <w:tcPr>
            <w:tcW w:w="2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(630,582)</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(543,678)</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(566,437)</w:t>
            </w:r>
          </w:p>
        </w:tc>
      </w:tr>
      <w:tr>
        <w:trPr>
          <w:trHeight w:val="27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Pre-provision net revenue</w:t>
            </w:r>
          </w:p>
        </w:tc>
        <w:tc>
          <w:tcPr>
            <w:tcW w:w="2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368,266</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243,333</w:t>
            </w: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298,182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(191,320)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(178,267)</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(243,565)</w:t>
            </w:r>
          </w:p>
        </w:tc>
      </w:tr>
      <w:tr>
        <w:trPr>
          <w:trHeight w:val="25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before income tax expense</w:t>
            </w:r>
          </w:p>
        </w:tc>
        <w:tc>
          <w:tcPr>
            <w:tcW w:w="2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176,946</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65,066</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54,617</w:t>
            </w:r>
          </w:p>
        </w:tc>
      </w:tr>
      <w:tr>
        <w:trPr>
          <w:trHeight w:val="25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Income tax expense</w:t>
            </w:r>
          </w:p>
        </w:tc>
        <w:tc>
          <w:tcPr>
            <w:tcW w:w="2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(41,269)</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(15,678)</w:t>
            </w:r>
          </w:p>
        </w:tc>
      </w:tr>
      <w:tr>
        <w:trPr>
          <w:trHeight w:val="27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GAAP Net income</w:t>
            </w:r>
          </w:p>
        </w:tc>
        <w:tc>
          <w:tcPr>
            <w:tcW w:w="21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4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TBV Per Common Share to the nearest GAAP measure: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auto"/>
              <w:bottom w:val="single" w:sz="8" w:color="auto"/>
            </w:tcBorders>
          </w:tcPr>
          <w:p>
            <w:pPr>
              <w:spacing w:after="0"/>
              <w:rPr>
                <w:sz w:val="23"/>
                <w:szCs w:val="23"/>
                <w:color w:val="auto"/>
              </w:rPr>
            </w:pPr>
          </w:p>
        </w:tc>
        <w:tc>
          <w:tcPr>
            <w:tcW w:w="50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6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5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GAAP common equity</w:t>
            </w:r>
          </w:p>
        </w:tc>
        <w:tc>
          <w:tcPr>
            <w:tcW w:w="16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1,500,428</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1,341,731</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1,251,822</w:t>
            </w:r>
          </w:p>
        </w:tc>
      </w:tr>
      <w:tr>
        <w:trPr>
          <w:trHeight w:val="250"/>
        </w:trPr>
        <w:tc>
          <w:tcPr>
            <w:tcW w:w="20" w:type="dxa"/>
            <w:vAlign w:val="bottom"/>
          </w:tcPr>
          <w:p>
            <w:pPr>
              <w:spacing w:after="0"/>
              <w:rPr>
                <w:sz w:val="21"/>
                <w:szCs w:val="21"/>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Goodwill</w:t>
            </w:r>
          </w:p>
        </w:tc>
        <w:tc>
          <w:tcPr>
            <w:tcW w:w="16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(75,717)</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(75,717)</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(75,717)</w:t>
            </w:r>
          </w:p>
        </w:tc>
      </w:tr>
      <w:tr>
        <w:trPr>
          <w:trHeight w:val="257"/>
        </w:trPr>
        <w:tc>
          <w:tcPr>
            <w:tcW w:w="2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Customer relationship intangible assets</w:t>
            </w:r>
          </w:p>
        </w:tc>
        <w:tc>
          <w:tcPr>
            <w:tcW w:w="16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(5,685)</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(8,586)</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(12,135)</w:t>
            </w:r>
          </w:p>
        </w:tc>
      </w:tr>
      <w:tr>
        <w:trPr>
          <w:trHeight w:val="250"/>
        </w:trPr>
        <w:tc>
          <w:tcPr>
            <w:tcW w:w="2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Tangible common equity</w:t>
            </w:r>
          </w:p>
        </w:tc>
        <w:tc>
          <w:tcPr>
            <w:tcW w:w="1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1,419,026</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1,257,428</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1,163,970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00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Book value per common share</w:t>
            </w: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GAAP common equity</w:t>
            </w:r>
          </w:p>
        </w:tc>
        <w:tc>
          <w:tcPr>
            <w:tcW w:w="1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1,500,428</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1,341,731</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1,251,822</w:t>
            </w:r>
          </w:p>
        </w:tc>
      </w:tr>
      <w:tr>
        <w:trPr>
          <w:trHeight w:val="257"/>
        </w:trPr>
        <w:tc>
          <w:tcPr>
            <w:tcW w:w="2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Common shares issued and outstanding</w:t>
            </w:r>
          </w:p>
        </w:tc>
        <w:tc>
          <w:tcPr>
            <w:tcW w:w="16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115,368,987</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113,383,917</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110,410,602</w:t>
            </w:r>
          </w:p>
        </w:tc>
      </w:tr>
      <w:tr>
        <w:trPr>
          <w:trHeight w:val="275"/>
        </w:trPr>
        <w:tc>
          <w:tcPr>
            <w:tcW w:w="20" w:type="dxa"/>
            <w:vAlign w:val="bottom"/>
            <w:tcBorders>
              <w:bottom w:val="single" w:sz="8" w:color="auto"/>
            </w:tcBorders>
            <w:shd w:val="clear" w:color="auto" w:fill="CCEEFF"/>
          </w:tcPr>
          <w:p>
            <w:pPr>
              <w:spacing w:after="0"/>
              <w:rPr>
                <w:sz w:val="23"/>
                <w:szCs w:val="23"/>
                <w:color w:val="auto"/>
              </w:rPr>
            </w:pPr>
          </w:p>
        </w:tc>
        <w:tc>
          <w:tcPr>
            <w:tcW w:w="5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Book value per common share</w:t>
            </w:r>
          </w:p>
        </w:tc>
        <w:tc>
          <w:tcPr>
            <w:tcW w:w="16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13.01</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11.83</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11.34</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37"/>
        </w:trPr>
        <w:tc>
          <w:tcPr>
            <w:tcW w:w="20" w:type="dxa"/>
            <w:vAlign w:val="bottom"/>
            <w:shd w:val="clear" w:color="auto" w:fill="CCEEFF"/>
          </w:tcPr>
          <w:p>
            <w:pPr>
              <w:spacing w:after="0"/>
              <w:rPr>
                <w:sz w:val="20"/>
                <w:szCs w:val="20"/>
                <w:color w:val="auto"/>
              </w:rPr>
            </w:pPr>
          </w:p>
        </w:tc>
        <w:tc>
          <w:tcPr>
            <w:tcW w:w="50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Tangible book value per common share</w:t>
            </w:r>
          </w:p>
        </w:tc>
        <w:tc>
          <w:tcPr>
            <w:tcW w:w="1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Tangible common equity</w:t>
            </w:r>
          </w:p>
        </w:tc>
        <w:tc>
          <w:tcPr>
            <w:tcW w:w="1680" w:type="dxa"/>
            <w:vAlign w:val="bottom"/>
            <w:tcBorders>
              <w:top w:val="single" w:sz="8" w:color="CCEEFF"/>
            </w:tcBorders>
          </w:tcPr>
          <w:p>
            <w:pPr>
              <w:spacing w:after="0"/>
              <w:rPr>
                <w:sz w:val="22"/>
                <w:szCs w:val="22"/>
                <w:color w:val="auto"/>
              </w:rPr>
            </w:pPr>
          </w:p>
        </w:tc>
        <w:tc>
          <w:tcPr>
            <w:tcW w:w="168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20"/>
                <w:szCs w:val="20"/>
                <w:color w:val="auto"/>
              </w:rPr>
              <w:t>1,419,026</w:t>
            </w:r>
          </w:p>
        </w:tc>
        <w:tc>
          <w:tcPr>
            <w:tcW w:w="36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20"/>
                <w:szCs w:val="20"/>
                <w:color w:val="auto"/>
              </w:rPr>
              <w:t>1,257,428</w:t>
            </w:r>
          </w:p>
        </w:tc>
        <w:tc>
          <w:tcPr>
            <w:tcW w:w="36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1,163,970</w:t>
            </w:r>
          </w:p>
        </w:tc>
      </w:tr>
      <w:tr>
        <w:trPr>
          <w:trHeight w:val="256"/>
        </w:trPr>
        <w:tc>
          <w:tcPr>
            <w:tcW w:w="2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Common shares issued and outstanding</w:t>
            </w:r>
          </w:p>
        </w:tc>
        <w:tc>
          <w:tcPr>
            <w:tcW w:w="16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115,368,987</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113,383,917</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110,410,602</w:t>
            </w:r>
          </w:p>
        </w:tc>
      </w:tr>
      <w:tr>
        <w:trPr>
          <w:trHeight w:val="250"/>
        </w:trPr>
        <w:tc>
          <w:tcPr>
            <w:tcW w:w="2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Tangible book value per common share</w:t>
            </w:r>
          </w:p>
        </w:tc>
        <w:tc>
          <w:tcPr>
            <w:tcW w:w="1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12.30</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11.09</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10.54</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reconciliation of ROTCE to the nearest GAAP measure: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auto"/>
              <w:bottom w:val="single" w:sz="8" w:color="auto"/>
            </w:tcBorders>
          </w:tcPr>
          <w:p>
            <w:pPr>
              <w:spacing w:after="0"/>
              <w:rPr>
                <w:sz w:val="23"/>
                <w:szCs w:val="23"/>
                <w:color w:val="auto"/>
              </w:rPr>
            </w:pPr>
          </w:p>
        </w:tc>
        <w:tc>
          <w:tcPr>
            <w:tcW w:w="51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As of and for the year ended December 31,</w:t>
            </w:r>
          </w:p>
        </w:tc>
        <w:tc>
          <w:tcPr>
            <w:tcW w:w="122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20" w:type="dxa"/>
            <w:vAlign w:val="bottom"/>
            <w:shd w:val="clear" w:color="auto" w:fill="CCEEFF"/>
          </w:tcPr>
          <w:p>
            <w:pPr>
              <w:spacing w:after="0"/>
              <w:rPr>
                <w:sz w:val="21"/>
                <w:szCs w:val="21"/>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Average GAAP common equity</w:t>
            </w:r>
          </w:p>
        </w:tc>
        <w:tc>
          <w:tcPr>
            <w:tcW w:w="12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1,407,528</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1,291,938</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1,204,050</w:t>
            </w: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 Average goodwill</w:t>
            </w:r>
          </w:p>
        </w:tc>
        <w:tc>
          <w:tcPr>
            <w:tcW w:w="1220" w:type="dxa"/>
            <w:vAlign w:val="bottom"/>
          </w:tcPr>
          <w:p>
            <w:pPr>
              <w:spacing w:after="0"/>
              <w:rPr>
                <w:sz w:val="22"/>
                <w:szCs w:val="22"/>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(75,717)</w:t>
            </w:r>
          </w:p>
        </w:tc>
        <w:tc>
          <w:tcPr>
            <w:tcW w:w="420" w:type="dxa"/>
            <w:vAlign w:val="bottom"/>
          </w:tcPr>
          <w:p>
            <w:pPr>
              <w:spacing w:after="0"/>
              <w:rPr>
                <w:sz w:val="22"/>
                <w:szCs w:val="22"/>
                <w:color w:val="auto"/>
              </w:rPr>
            </w:pP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(75,717)</w:t>
            </w:r>
          </w:p>
        </w:tc>
        <w:tc>
          <w:tcPr>
            <w:tcW w:w="420" w:type="dxa"/>
            <w:vAlign w:val="bottom"/>
          </w:tcPr>
          <w:p>
            <w:pPr>
              <w:spacing w:after="0"/>
              <w:rPr>
                <w:sz w:val="22"/>
                <w:szCs w:val="22"/>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(75,717)</w:t>
            </w:r>
          </w:p>
        </w:tc>
      </w:tr>
      <w:tr>
        <w:trPr>
          <w:trHeight w:val="256"/>
        </w:trPr>
        <w:tc>
          <w:tcPr>
            <w:tcW w:w="20" w:type="dxa"/>
            <w:vAlign w:val="bottom"/>
            <w:tcBorders>
              <w:bottom w:val="single" w:sz="8" w:color="auto"/>
            </w:tcBorders>
            <w:shd w:val="clear" w:color="auto" w:fill="CCEEFF"/>
          </w:tcPr>
          <w:p>
            <w:pPr>
              <w:spacing w:after="0"/>
              <w:rPr>
                <w:sz w:val="22"/>
                <w:szCs w:val="22"/>
                <w:color w:val="auto"/>
              </w:rPr>
            </w:pPr>
          </w:p>
        </w:tc>
        <w:tc>
          <w:tcPr>
            <w:tcW w:w="51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Less: Average customer relationship intangible assets</w:t>
            </w:r>
          </w:p>
        </w:tc>
        <w:tc>
          <w:tcPr>
            <w:tcW w:w="1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(7,099)</w:t>
            </w: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(10,324)</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(14,198)</w:t>
            </w:r>
          </w:p>
        </w:tc>
      </w:tr>
      <w:tr>
        <w:trPr>
          <w:trHeight w:val="250"/>
        </w:trPr>
        <w:tc>
          <w:tcPr>
            <w:tcW w:w="20" w:type="dxa"/>
            <w:vAlign w:val="bottom"/>
            <w:tcBorders>
              <w:bottom w:val="single" w:sz="8" w:color="auto"/>
            </w:tcBorders>
          </w:tcPr>
          <w:p>
            <w:pPr>
              <w:spacing w:after="0"/>
              <w:rPr>
                <w:sz w:val="21"/>
                <w:szCs w:val="21"/>
                <w:color w:val="auto"/>
              </w:rPr>
            </w:pPr>
          </w:p>
        </w:tc>
        <w:tc>
          <w:tcPr>
            <w:tcW w:w="5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Average tangible common equity</w:t>
            </w:r>
          </w:p>
        </w:tc>
        <w:tc>
          <w:tcPr>
            <w:tcW w:w="12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1,324,712</w:t>
            </w:r>
          </w:p>
        </w:tc>
        <w:tc>
          <w:tcPr>
            <w:tcW w:w="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1,205,897</w:t>
            </w:r>
          </w:p>
        </w:tc>
        <w:tc>
          <w:tcPr>
            <w:tcW w:w="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1,114,135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100" w:type="dxa"/>
            <w:vAlign w:val="bottom"/>
            <w:gridSpan w:val="3"/>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Return on average equity</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GAAP net income</w:t>
            </w:r>
          </w:p>
        </w:tc>
        <w:tc>
          <w:tcPr>
            <w:tcW w:w="12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135,677</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51,330</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38,939</w:t>
            </w:r>
          </w:p>
        </w:tc>
      </w:tr>
      <w:tr>
        <w:trPr>
          <w:trHeight w:val="256"/>
        </w:trPr>
        <w:tc>
          <w:tcPr>
            <w:tcW w:w="20" w:type="dxa"/>
            <w:vAlign w:val="bottom"/>
            <w:tcBorders>
              <w:bottom w:val="single" w:sz="8" w:color="auto"/>
            </w:tcBorders>
          </w:tcPr>
          <w:p>
            <w:pPr>
              <w:spacing w:after="0"/>
              <w:rPr>
                <w:sz w:val="22"/>
                <w:szCs w:val="22"/>
                <w:color w:val="auto"/>
              </w:rPr>
            </w:pPr>
          </w:p>
        </w:tc>
        <w:tc>
          <w:tcPr>
            <w:tcW w:w="5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Average GAAP common equity</w:t>
            </w:r>
          </w:p>
        </w:tc>
        <w:tc>
          <w:tcPr>
            <w:tcW w:w="1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1,407,528</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1,291,938</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1,204,050</w:t>
            </w:r>
          </w:p>
        </w:tc>
      </w:tr>
      <w:tr>
        <w:trPr>
          <w:trHeight w:val="275"/>
        </w:trPr>
        <w:tc>
          <w:tcPr>
            <w:tcW w:w="20" w:type="dxa"/>
            <w:vAlign w:val="bottom"/>
            <w:tcBorders>
              <w:bottom w:val="single" w:sz="8" w:color="auto"/>
            </w:tcBorders>
            <w:shd w:val="clear" w:color="auto" w:fill="CCEEFF"/>
          </w:tcPr>
          <w:p>
            <w:pPr>
              <w:spacing w:after="0"/>
              <w:rPr>
                <w:sz w:val="23"/>
                <w:szCs w:val="23"/>
                <w:color w:val="auto"/>
              </w:rPr>
            </w:pPr>
          </w:p>
        </w:tc>
        <w:tc>
          <w:tcPr>
            <w:tcW w:w="51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Return on average equity</w:t>
            </w:r>
          </w:p>
        </w:tc>
        <w:tc>
          <w:tcPr>
            <w:tcW w:w="1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9.6 %</w:t>
            </w: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Return on tangible common equity</w:t>
            </w:r>
          </w:p>
        </w:tc>
        <w:tc>
          <w:tcPr>
            <w:tcW w:w="2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GAAP net income</w:t>
            </w:r>
          </w:p>
        </w:tc>
        <w:tc>
          <w:tcPr>
            <w:tcW w:w="12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135,677</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51,330</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38,939</w:t>
            </w:r>
          </w:p>
        </w:tc>
      </w:tr>
      <w:tr>
        <w:trPr>
          <w:trHeight w:val="257"/>
        </w:trPr>
        <w:tc>
          <w:tcPr>
            <w:tcW w:w="20" w:type="dxa"/>
            <w:vAlign w:val="bottom"/>
            <w:tcBorders>
              <w:bottom w:val="single" w:sz="8" w:color="auto"/>
            </w:tcBorders>
            <w:shd w:val="clear" w:color="auto" w:fill="CCEEFF"/>
          </w:tcPr>
          <w:p>
            <w:pPr>
              <w:spacing w:after="0"/>
              <w:rPr>
                <w:sz w:val="22"/>
                <w:szCs w:val="22"/>
                <w:color w:val="auto"/>
              </w:rPr>
            </w:pPr>
          </w:p>
        </w:tc>
        <w:tc>
          <w:tcPr>
            <w:tcW w:w="51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Average tangible common equity</w:t>
            </w:r>
          </w:p>
        </w:tc>
        <w:tc>
          <w:tcPr>
            <w:tcW w:w="1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1,324,712</w:t>
            </w: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1,205,897</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1,114,135</w:t>
            </w:r>
          </w:p>
        </w:tc>
      </w:tr>
      <w:tr>
        <w:trPr>
          <w:trHeight w:val="250"/>
        </w:trPr>
        <w:tc>
          <w:tcPr>
            <w:tcW w:w="20" w:type="dxa"/>
            <w:vAlign w:val="bottom"/>
            <w:tcBorders>
              <w:bottom w:val="single" w:sz="8" w:color="auto"/>
            </w:tcBorders>
          </w:tcPr>
          <w:p>
            <w:pPr>
              <w:spacing w:after="0"/>
              <w:rPr>
                <w:sz w:val="21"/>
                <w:szCs w:val="21"/>
                <w:color w:val="auto"/>
              </w:rPr>
            </w:pPr>
          </w:p>
        </w:tc>
        <w:tc>
          <w:tcPr>
            <w:tcW w:w="5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Return on tangible common equity</w:t>
            </w:r>
          </w:p>
        </w:tc>
        <w:tc>
          <w:tcPr>
            <w:tcW w:w="1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10.2 %</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Supervision and Regulatory Environment</w:t>
      </w:r>
    </w:p>
    <w:p>
      <w:pPr>
        <w:spacing w:after="0" w:line="2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are subject to supervision, regulation, examination, enforcement and other proceedings by multiple federal banking regulatory bodies. Specifically, as a bank holding company, the Company is subject to ongoing and comprehensive supervision, regulation, examination and enforcement by the Board of Governors of the Federal Reserve System (FRB). Further, as a national bank, LC Bank is subject to ongoing and comprehensive supervision, regulation, examination and enforcement by the Office of the Comptroller of the Currency (OCC). Additionally, as a depository institution with assets over $10 billion, LC Bank is subject to supervision and enforcement authority relating to federal consumer financial laws and regulations by the Consumer Financial Protection Bureau (CFPB). Accordingly, we have been and continue to invest in regulatory compliance and be subject to certain parameters, obligations and/or limitations set forth by the banking regulations and regulators with respect to the operation of our business.</w:t>
      </w:r>
    </w:p>
    <w:p>
      <w:pPr>
        <w:spacing w:after="0" w:line="209" w:lineRule="exact"/>
        <w:rPr>
          <w:sz w:val="20"/>
          <w:szCs w:val="20"/>
          <w:color w:val="auto"/>
        </w:rPr>
      </w:pPr>
    </w:p>
    <w:p>
      <w:pPr>
        <w:jc w:val="both"/>
        <w:ind w:right="240"/>
        <w:spacing w:after="0" w:line="239" w:lineRule="auto"/>
        <w:rPr>
          <w:sz w:val="20"/>
          <w:szCs w:val="20"/>
          <w:color w:val="auto"/>
        </w:rPr>
      </w:pPr>
      <w:r>
        <w:rPr>
          <w:rFonts w:ascii="Times New Roman" w:cs="Times New Roman" w:eastAsia="Times New Roman" w:hAnsi="Times New Roman"/>
          <w:sz w:val="20"/>
          <w:szCs w:val="20"/>
          <w:color w:val="auto"/>
        </w:rPr>
        <w:t>Further, we are subject to periodic supervision, regulation, examination, enforcement and other proceedings from various other federal and state regulatory and/or law enforcement agencies. Additionally, we are subject to claims, individual and class action lawsuits, and lawsuits alleging regulatory violations. Although historically the Company has generally resolved these matters in a manner that was not materially adverse to its financial results or business operations, no assurance can be given as to the timing, outcome or consequences of any of these matters in the future.</w:t>
      </w: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If we are found to not have complied with applicable laws, regulations or requirements, we could: (i) lose one or more of our licenses or authorizations, or be required to obtain a new license or authorization, (ii) become subject to a consent order or administrative enforcement action, (iii) face lawsuits (including class action lawsuits), sanctions, penalties, or other monetary losses due to judgments, orders, or settlements, (iv) be in breach of certain contracts, which may void or cancel such contracts, (v) decide or be compelled to modify or suspend certain of our business practices and/or (vi) be unable to execute on certain Company initiatives, which may have an adverse effect on our ability to operate and/or evolve our lending marketplace and other products and/or services; any of which may harm our business or financial results.</w:t>
      </w:r>
    </w:p>
    <w:p>
      <w:pPr>
        <w:spacing w:after="0" w:line="21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Part I – Item 1. Business – Regulation and Supervision,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Part I – Item 1A. Risk Factors – Risks Related to Regulation, Supervision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Compliance,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Part I – Item 1A. Risk Factors – Risks Related to Operating Our Business</w:t>
      </w:r>
      <w:r>
        <w:rPr>
          <w:rFonts w:ascii="Times New Roman" w:cs="Times New Roman" w:eastAsia="Times New Roman" w:hAnsi="Times New Roman"/>
          <w:sz w:val="20"/>
          <w:szCs w:val="20"/>
          <w:color w:val="auto"/>
        </w:rPr>
        <w:t>” of this Annual Report for further discussion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regarding our supervision and regulatory environment.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Management</w:t>
      </w:r>
    </w:p>
    <w:p>
      <w:pPr>
        <w:spacing w:after="0" w:line="2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The prudent management of capital is fundamental to the successful achievement of our business initiatives. We actively review capital through a process that continuously assesses and monitors the Company’s overall capital adequacy. Our objective is to maintain capital at an amount commensurate with our risk profile and risk tolerance objectives, and to meet both regulatory and market expectations.</w:t>
      </w:r>
    </w:p>
    <w:p>
      <w:pPr>
        <w:spacing w:after="0" w:line="2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formation of LC Bank as a nationally chartered association and the organization of the Company as a bank holding company subjects us to various capital adequacy guidelines issued by the OCC and the FRB, including the requirement to maintain regulatory capital ratios in accordance with the Basel Committee on Banking Supervision standardized approach for U.S. banking organizations (Basel III). As a Basel III standardized approach institution, we selected the one-time election to opt-out of the requirements to include all the components of accumulated other comprehensive income included in common stockholder’s equity. The minimum capital requirements under the Basel III capital framework are: a Common Equity Tier 1 (CET1) risk-based capital ratio of 4.5%, a Tier 1 risk-based capital ratio of 6.0%, a total risk-based capital ratio of 8.0%, and a Tier 1 leverage ratio of 4.0%. Additionally, a capital conservation buffer of 2.5% must be maintained above the minimum risk-based capital requirements in order to avoid certain limitations on capital distributions, share repurchases, and certain discretionary bonus payments. In addition to these guidelines, the banking regulators may require a banking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organization to maintain capital at levels higher than the minimum ratios prescribed under the Basel III capital framework. See “</w:t>
      </w:r>
      <w:r>
        <w:rPr>
          <w:rFonts w:ascii="Times New Roman" w:cs="Times New Roman" w:eastAsia="Times New Roman" w:hAnsi="Times New Roman"/>
          <w:sz w:val="19"/>
          <w:szCs w:val="19"/>
          <w:i w:val="1"/>
          <w:iCs w:val="1"/>
          <w:color w:val="auto"/>
        </w:rPr>
        <w:t>Part I – Item</w:t>
      </w:r>
    </w:p>
    <w:p>
      <w:pPr>
        <w:spacing w:after="0" w:line="44" w:lineRule="exact"/>
        <w:rPr>
          <w:sz w:val="20"/>
          <w:szCs w:val="20"/>
          <w:color w:val="auto"/>
        </w:rPr>
      </w:pPr>
    </w:p>
    <w:p>
      <w:pPr>
        <w:ind w:right="440" w:firstLine="8"/>
        <w:spacing w:after="0" w:line="253" w:lineRule="auto"/>
        <w:tabs>
          <w:tab w:leader="none" w:pos="198"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Business – Regulation and Supervision – Capital and Liquidity Requirements and Prompt Corrective Action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 xml:space="preserve">Item 8. Financial Statements and Supplementary Data – Notes to Consolidated Financial Statements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Note 19. Regulatory Requirements</w:t>
      </w:r>
      <w:r>
        <w:rPr>
          <w:rFonts w:ascii="Times New Roman" w:cs="Times New Roman" w:eastAsia="Times New Roman" w:hAnsi="Times New Roman"/>
          <w:sz w:val="20"/>
          <w:szCs w:val="20"/>
          <w:color w:val="auto"/>
        </w:rPr>
        <w:t>” of this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for additional information regarding regulatory capital requirements.</w:t>
      </w:r>
    </w:p>
    <w:p>
      <w:pPr>
        <w:spacing w:after="0" w:line="202"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actual capital amounts and ratios of the Company and LC Bank as well as LC Bank’s regulatory capital minimum and “well-capitalized” requirements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Required</w:t>
            </w:r>
          </w:p>
        </w:tc>
        <w:tc>
          <w:tcPr>
            <w:tcW w:w="166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Well-Capitalized</w:t>
            </w:r>
          </w:p>
        </w:tc>
      </w:tr>
      <w:tr>
        <w:trPr>
          <w:trHeight w:val="250"/>
        </w:trPr>
        <w:tc>
          <w:tcPr>
            <w:tcW w:w="2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0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Ratio</w:t>
            </w:r>
          </w:p>
        </w:tc>
        <w:tc>
          <w:tcPr>
            <w:tcW w:w="1800" w:type="dxa"/>
            <w:vAlign w:val="bottom"/>
            <w:tcBorders>
              <w:bottom w:val="single" w:sz="8" w:color="auto"/>
            </w:tcBorders>
          </w:tcPr>
          <w:p>
            <w:pPr>
              <w:jc w:val="right"/>
              <w:ind w:right="281"/>
              <w:spacing w:after="0" w:line="250" w:lineRule="exact"/>
              <w:rPr>
                <w:sz w:val="20"/>
                <w:szCs w:val="20"/>
                <w:color w:val="auto"/>
              </w:rPr>
            </w:pPr>
            <w:r>
              <w:rPr>
                <w:rFonts w:ascii="Times New Roman" w:cs="Times New Roman" w:eastAsia="Times New Roman" w:hAnsi="Times New Roman"/>
                <w:sz w:val="20"/>
                <w:szCs w:val="20"/>
                <w:b w:val="1"/>
                <w:bCs w:val="1"/>
                <w:color w:val="auto"/>
              </w:rPr>
              <w:t xml:space="preserve">Minimum </w:t>
            </w:r>
            <w:r>
              <w:rPr>
                <w:rFonts w:ascii="Times New Roman" w:cs="Times New Roman" w:eastAsia="Times New Roman" w:hAnsi="Times New Roman"/>
                <w:sz w:val="25"/>
                <w:szCs w:val="25"/>
                <w:b w:val="1"/>
                <w:bCs w:val="1"/>
                <w:color w:val="auto"/>
                <w:vertAlign w:val="superscript"/>
              </w:rPr>
              <w:t>(1)</w:t>
            </w:r>
          </w:p>
        </w:tc>
        <w:tc>
          <w:tcPr>
            <w:tcW w:w="16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r>
      <w:tr>
        <w:trPr>
          <w:trHeight w:val="25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LendingClub Corporation:</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57"/>
        </w:trPr>
        <w:tc>
          <w:tcPr>
            <w:tcW w:w="29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CET1 capital </w:t>
            </w:r>
            <w:r>
              <w:rPr>
                <w:rFonts w:ascii="Times New Roman" w:cs="Times New Roman" w:eastAsia="Times New Roman" w:hAnsi="Times New Roman"/>
                <w:sz w:val="25"/>
                <w:szCs w:val="25"/>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8.5 %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6.0 %</w:t>
            </w: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1,441.0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1,276.5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leverage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7,696.1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6,887.1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Quarterly adjusted average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11,174.0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10,814.0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108"/>
        </w:trPr>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LendingClub Bank:</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7"/>
        </w:trPr>
        <w:tc>
          <w:tcPr>
            <w:tcW w:w="29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CET1 capital </w:t>
            </w:r>
            <w:r>
              <w:rPr>
                <w:rFonts w:ascii="Times New Roman" w:cs="Times New Roman" w:eastAsia="Times New Roman" w:hAnsi="Times New Roman"/>
                <w:sz w:val="25"/>
                <w:szCs w:val="25"/>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5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8.5 %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8.0 %</w:t>
            </w: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1,281.8</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1,188.5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leverage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7,652.0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6,823.1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6"/>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Quarterly adjusted average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11,090.4</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10,696.7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 Not applicable</w:t>
      </w:r>
    </w:p>
    <w:p>
      <w:pPr>
        <w:spacing w:after="0" w:line="20"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Required minimums presented for risk-based capital ratios include the required capital conservation buffer of 2.5%.</w:t>
      </w:r>
    </w:p>
    <w:p>
      <w:pPr>
        <w:ind w:left="280" w:hanging="272"/>
        <w:spacing w:after="0" w:line="189" w:lineRule="auto"/>
        <w:tabs>
          <w:tab w:leader="none" w:pos="280"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CET1 capital consists of common stockholders’ equity as defined under U.S. GAAP and certain adjustments made in accordance with</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regulatory capital guidelines, including deductions for goodwill and other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higher risk-based capital ratios for the Company reflect higher capital at LendingClub Corporation as compared with LC Bank.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6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We manage liquidity to meet our cash flow and collateral obligations in a timely manner at a reasonable cost. We must maintain operating liquidity to meet our expected daily and forecasted cash flow requirements, as well as contingent liquidity to meet unexpected funding requirements.</w:t>
      </w:r>
    </w:p>
    <w:p>
      <w:pPr>
        <w:spacing w:after="0" w:line="2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As our primary business at LC Bank involves taking deposits and originating loans, a key role of liquidity management is to ensure that customers have timely access to funds from deposits and for loans. Liquidity management also involves maintaining sufficient liquidity to repay borrowings, pay operating expenses and support extraordinary funding requirements when necessary.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LendingClub Bank Liquidity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LC Bank’s primary sources of short-term liquidity as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72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901,246</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932,463</w:t>
            </w:r>
          </w:p>
        </w:tc>
      </w:tr>
      <w:tr>
        <w:trPr>
          <w:trHeight w:val="270"/>
        </w:trPr>
        <w:tc>
          <w:tcPr>
            <w:tcW w:w="4720" w:type="dxa"/>
            <w:vAlign w:val="bottom"/>
          </w:tcPr>
          <w:p>
            <w:pPr>
              <w:ind w:left="20"/>
              <w:spacing w:after="0" w:line="270" w:lineRule="exact"/>
              <w:rPr>
                <w:sz w:val="20"/>
                <w:szCs w:val="20"/>
                <w:color w:val="auto"/>
              </w:rPr>
            </w:pPr>
            <w:r>
              <w:rPr>
                <w:rFonts w:ascii="Times New Roman" w:cs="Times New Roman" w:eastAsia="Times New Roman" w:hAnsi="Times New Roman"/>
                <w:sz w:val="20"/>
                <w:szCs w:val="20"/>
                <w:color w:val="auto"/>
              </w:rPr>
              <w:t xml:space="preserve">Securities available for sale </w:t>
            </w:r>
            <w:r>
              <w:rPr>
                <w:rFonts w:ascii="Times New Roman" w:cs="Times New Roman" w:eastAsia="Times New Roman" w:hAnsi="Times New Roman"/>
                <w:sz w:val="25"/>
                <w:szCs w:val="25"/>
                <w:color w:val="auto"/>
                <w:vertAlign w:val="superscript"/>
              </w:rPr>
              <w:t>(1)</w:t>
            </w:r>
          </w:p>
        </w:tc>
        <w:tc>
          <w:tcPr>
            <w:tcW w:w="2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384,846</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382,876</w:t>
            </w:r>
          </w:p>
        </w:tc>
      </w:tr>
      <w:tr>
        <w:trPr>
          <w:trHeight w:val="2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Deposits</w:t>
            </w:r>
          </w:p>
        </w:tc>
        <w:tc>
          <w:tcPr>
            <w:tcW w:w="2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9,948,426</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9,116,821</w:t>
            </w:r>
          </w:p>
        </w:tc>
      </w:tr>
      <w:tr>
        <w:trPr>
          <w:trHeight w:val="108"/>
        </w:trPr>
        <w:tc>
          <w:tcPr>
            <w:tcW w:w="47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2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Available borrowing capacity:</w:t>
            </w:r>
          </w:p>
        </w:tc>
        <w:tc>
          <w:tcPr>
            <w:tcW w:w="21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70"/>
        </w:trPr>
        <w:tc>
          <w:tcPr>
            <w:tcW w:w="4720" w:type="dxa"/>
            <w:vAlign w:val="bottom"/>
          </w:tcPr>
          <w:p>
            <w:pPr>
              <w:ind w:left="140"/>
              <w:spacing w:after="0" w:line="270" w:lineRule="exact"/>
              <w:rPr>
                <w:sz w:val="20"/>
                <w:szCs w:val="20"/>
                <w:color w:val="auto"/>
              </w:rPr>
            </w:pPr>
            <w:r>
              <w:rPr>
                <w:rFonts w:ascii="Times New Roman" w:cs="Times New Roman" w:eastAsia="Times New Roman" w:hAnsi="Times New Roman"/>
                <w:sz w:val="20"/>
                <w:szCs w:val="20"/>
                <w:color w:val="auto"/>
              </w:rPr>
              <w:t xml:space="preserve">FRB Discount Window </w:t>
            </w:r>
            <w:r>
              <w:rPr>
                <w:rFonts w:ascii="Times New Roman" w:cs="Times New Roman" w:eastAsia="Times New Roman" w:hAnsi="Times New Roman"/>
                <w:sz w:val="25"/>
                <w:szCs w:val="25"/>
                <w:color w:val="auto"/>
                <w:vertAlign w:val="superscript"/>
              </w:rPr>
              <w:t>(2)</w:t>
            </w:r>
          </w:p>
        </w:tc>
        <w:tc>
          <w:tcPr>
            <w:tcW w:w="2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3,294,827</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2,635,034</w:t>
            </w:r>
          </w:p>
        </w:tc>
      </w:tr>
      <w:tr>
        <w:trPr>
          <w:trHeight w:val="270"/>
        </w:trPr>
        <w:tc>
          <w:tcPr>
            <w:tcW w:w="4720" w:type="dxa"/>
            <w:vAlign w:val="bottom"/>
            <w:tcBorders>
              <w:bottom w:val="single" w:sz="8" w:color="auto"/>
            </w:tcBorders>
            <w:shd w:val="clear" w:color="auto" w:fill="CCEEFF"/>
          </w:tcPr>
          <w:p>
            <w:pPr>
              <w:ind w:left="140"/>
              <w:spacing w:after="0" w:line="270" w:lineRule="exact"/>
              <w:rPr>
                <w:sz w:val="20"/>
                <w:szCs w:val="20"/>
                <w:color w:val="auto"/>
              </w:rPr>
            </w:pPr>
            <w:r>
              <w:rPr>
                <w:rFonts w:ascii="Times New Roman" w:cs="Times New Roman" w:eastAsia="Times New Roman" w:hAnsi="Times New Roman"/>
                <w:sz w:val="20"/>
                <w:szCs w:val="20"/>
                <w:color w:val="auto"/>
              </w:rPr>
              <w:t xml:space="preserve">FHLB of Des Moines </w:t>
            </w:r>
            <w:r>
              <w:rPr>
                <w:rFonts w:ascii="Times New Roman" w:cs="Times New Roman" w:eastAsia="Times New Roman" w:hAnsi="Times New Roman"/>
                <w:sz w:val="25"/>
                <w:szCs w:val="25"/>
                <w:color w:val="auto"/>
                <w:vertAlign w:val="superscript"/>
              </w:rPr>
              <w:t>(3)</w:t>
            </w:r>
          </w:p>
        </w:tc>
        <w:tc>
          <w:tcPr>
            <w:tcW w:w="21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679,361</w:t>
            </w:r>
          </w:p>
        </w:tc>
        <w:tc>
          <w:tcPr>
            <w:tcW w:w="30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626,117</w:t>
            </w:r>
          </w:p>
        </w:tc>
      </w:tr>
      <w:tr>
        <w:trPr>
          <w:trHeight w:val="26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available borrowing capacity</w:t>
            </w:r>
          </w:p>
        </w:tc>
        <w:tc>
          <w:tcPr>
            <w:tcW w:w="2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3,974,188</w:t>
            </w:r>
          </w:p>
        </w:tc>
        <w:tc>
          <w:tcPr>
            <w:tcW w:w="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3,261,151</w:t>
            </w:r>
          </w:p>
        </w:tc>
      </w:tr>
    </w:tbl>
    <w:p>
      <w:pPr>
        <w:spacing w:after="0" w:line="85" w:lineRule="exact"/>
        <w:rPr>
          <w:sz w:val="20"/>
          <w:szCs w:val="20"/>
          <w:color w:val="auto"/>
        </w:rPr>
      </w:pPr>
    </w:p>
    <w:p>
      <w:pPr>
        <w:ind w:left="280" w:hanging="272"/>
        <w:spacing w:after="0"/>
        <w:tabs>
          <w:tab w:leader="none" w:pos="28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illiquid securities available for sale.</w:t>
      </w:r>
    </w:p>
    <w:p>
      <w:pPr>
        <w:spacing w:after="0" w:line="47" w:lineRule="exact"/>
        <w:rPr>
          <w:rFonts w:ascii="Times New Roman" w:cs="Times New Roman" w:eastAsia="Times New Roman" w:hAnsi="Times New Roman"/>
          <w:sz w:val="26"/>
          <w:szCs w:val="26"/>
          <w:color w:val="auto"/>
          <w:vertAlign w:val="superscript"/>
        </w:rPr>
      </w:pPr>
    </w:p>
    <w:p>
      <w:pPr>
        <w:ind w:left="340" w:right="300" w:hanging="332"/>
        <w:spacing w:after="0" w:line="217" w:lineRule="auto"/>
        <w:tabs>
          <w:tab w:leader="none" w:pos="294"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and 2024, the Company had $4.2 billion and $3.2 billion in loans pledged under the FRB Discount Window, respectively.</w:t>
      </w:r>
    </w:p>
    <w:p>
      <w:pPr>
        <w:spacing w:after="0" w:line="39" w:lineRule="exact"/>
        <w:rPr>
          <w:rFonts w:ascii="Times New Roman" w:cs="Times New Roman" w:eastAsia="Times New Roman" w:hAnsi="Times New Roman"/>
          <w:sz w:val="26"/>
          <w:szCs w:val="26"/>
          <w:color w:val="auto"/>
          <w:vertAlign w:val="superscript"/>
        </w:rPr>
      </w:pPr>
    </w:p>
    <w:p>
      <w:pPr>
        <w:ind w:left="340" w:right="300" w:hanging="332"/>
        <w:spacing w:after="0" w:line="231" w:lineRule="auto"/>
        <w:tabs>
          <w:tab w:leader="none" w:pos="294"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the Company had $486.2 million in loans and $375.7 million in securities pledged to the FHLB of Des Moines. As of December 31, 2024, the Company had $456.4 million in loans and $373.5 million in securities pledged to the FHLB of Des Moines.</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primary uses of LC Bank liquidity include (i) the funding/acquisition of loans and securities purchases, (ii) withdrawals, maturities and the payment of interest on deposits, (iii) compensation and benefits expense, (iv) taxes, (v) capital expenditures, including the purchase of an office building in 2025, as well as the related building improvements, and internally developed software, and (vi) costs associated with the continued development and support of our digital marketplace bank.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Deposits</w:t>
      </w:r>
    </w:p>
    <w:p>
      <w:pPr>
        <w:spacing w:after="0" w:line="2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Deposits represent an important source of funding for LC Bank. We offer deposit accounts to our members, which include both interest-bearing and noninterest-bearing deposits. As of both December 31, 2025 and 2024, the amount of uninsured deposits totaled $1.2 billion, or 12% and 13%, respectively. Uninsured time deposits as of December 31, 2025, by remaining time to maturity,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 months or less</w:t>
            </w:r>
          </w:p>
        </w:tc>
        <w:tc>
          <w:tcPr>
            <w:tcW w:w="39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27,444</w:t>
            </w:r>
          </w:p>
        </w:tc>
      </w:tr>
      <w:tr>
        <w:trPr>
          <w:trHeight w:val="256"/>
        </w:trPr>
        <w:tc>
          <w:tcPr>
            <w:tcW w:w="6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Over 3 months through 6 months</w:t>
            </w:r>
          </w:p>
        </w:tc>
        <w:tc>
          <w:tcPr>
            <w:tcW w:w="39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44,284</w:t>
            </w:r>
          </w:p>
        </w:tc>
      </w:tr>
      <w:tr>
        <w:trPr>
          <w:trHeight w:val="25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Over 6 months through 12 months</w:t>
            </w:r>
          </w:p>
        </w:tc>
        <w:tc>
          <w:tcPr>
            <w:tcW w:w="39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42,460</w:t>
            </w:r>
          </w:p>
        </w:tc>
      </w:tr>
      <w:tr>
        <w:trPr>
          <w:trHeight w:val="256"/>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Over 12 months</w:t>
            </w:r>
          </w:p>
        </w:tc>
        <w:tc>
          <w:tcPr>
            <w:tcW w:w="39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2,385</w:t>
            </w:r>
          </w:p>
        </w:tc>
      </w:tr>
      <w:tr>
        <w:trPr>
          <w:trHeight w:val="275"/>
        </w:trPr>
        <w:tc>
          <w:tcPr>
            <w:tcW w:w="6340" w:type="dxa"/>
            <w:vAlign w:val="bottom"/>
            <w:tcBorders>
              <w:bottom w:val="single" w:sz="8" w:color="auto"/>
            </w:tcBorders>
            <w:shd w:val="clear" w:color="auto" w:fill="CCEEFF"/>
          </w:tcPr>
          <w:p>
            <w:pPr>
              <w:ind w:left="220"/>
              <w:spacing w:after="0" w:line="250" w:lineRule="exact"/>
              <w:rPr>
                <w:sz w:val="20"/>
                <w:szCs w:val="20"/>
                <w:color w:val="auto"/>
              </w:rPr>
            </w:pPr>
            <w:r>
              <w:rPr>
                <w:rFonts w:ascii="Times New Roman" w:cs="Times New Roman" w:eastAsia="Times New Roman" w:hAnsi="Times New Roman"/>
                <w:sz w:val="20"/>
                <w:szCs w:val="20"/>
                <w:color w:val="auto"/>
              </w:rPr>
              <w:t xml:space="preserve">Total uninsured time deposits </w:t>
            </w:r>
            <w:r>
              <w:rPr>
                <w:rFonts w:ascii="Times New Roman" w:cs="Times New Roman" w:eastAsia="Times New Roman" w:hAnsi="Times New Roman"/>
                <w:sz w:val="25"/>
                <w:szCs w:val="25"/>
                <w:color w:val="auto"/>
                <w:vertAlign w:val="superscript"/>
              </w:rPr>
              <w:t>(1)</w:t>
            </w:r>
          </w:p>
        </w:tc>
        <w:tc>
          <w:tcPr>
            <w:tcW w:w="39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116,573</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3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Consist of certificates of deposit accounts that are in excess of the FDIC insurance limit of $250 thousand per account holder.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2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Net capital expenditures were $143.6 million, or 14% of total net revenue, and $54.3 million, or 7% of total net revenue, for the years ended December 31, 2025 and 2024, respectively. Our capital expenditures in 2025 included the $74.5 million cash acquisition of the office building and related improvements to the property. Capital expenditures in 2026 are expected to be approximately $95 million, primarily driven by costs associated with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continued development and support of our digital marketplace bank, as well as additional improvements to the office building acquired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LendingClub Holding Company Liquidity</w:t>
      </w:r>
    </w:p>
    <w:p>
      <w:pPr>
        <w:spacing w:after="0" w:line="26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primary source of liquidity at the holding company is $127.1 million and $66.0 million in cash and cash equivalents as of December 31, 2025 and 2024, respectively. The increase in cash and cash equivalents was primarily driven by a $50 million cash dividend that was paid by LC Bank to the holding company during the first quarter of 2025 to return a capital contribution made by the holding company to LC Bank in the second half of 2024. Additionally, the holding company has the ability to access the capital markets through additional registrations and public equity offerings.</w:t>
      </w:r>
    </w:p>
    <w:p>
      <w:pPr>
        <w:spacing w:after="0" w:line="21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Uses of cash at the holding company include the routine cash flow requirements as a bank holding company, such as interest and expenses (including those associated with our office leases), share repurchases, the needs of LC Bank for additional equity and, as required, its need for debt financing and support for extraordinary funding requirements when necessary.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Impacting Liquidity</w:t>
      </w:r>
    </w:p>
    <w:p>
      <w:pPr>
        <w:spacing w:after="0" w:line="2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Our liquidity could be adversely impacted by deteriorating financial and market conditions, the inability or unwillingness of a creditor to provide funding, an idiosyncratic event (e.g., a major loss, causing a perceived or actual deterioration in our financial condition), an adverse systemic event (e.g., default or bankruptcy of a significant capital markets participant), or others.</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believe, based on our projections, that our cash on hand, liquid AFS securities, deposits, available borrowing capacity, and net cash flows from operating, investing and financing activities are sufficient to meet our liquidity needs for the next twelve months, as well as beyond the next twelve months. See “</w:t>
      </w:r>
      <w:r>
        <w:rPr>
          <w:rFonts w:ascii="Times New Roman" w:cs="Times New Roman" w:eastAsia="Times New Roman" w:hAnsi="Times New Roman"/>
          <w:sz w:val="20"/>
          <w:szCs w:val="20"/>
          <w:i w:val="1"/>
          <w:iCs w:val="1"/>
          <w:color w:val="auto"/>
        </w:rPr>
        <w:t>Item 8. Financial Statements and Supplementary Data – Consolidated Statements of Cash Flows</w:t>
      </w:r>
      <w:r>
        <w:rPr>
          <w:rFonts w:ascii="Times New Roman" w:cs="Times New Roman" w:eastAsia="Times New Roman" w:hAnsi="Times New Roman"/>
          <w:sz w:val="20"/>
          <w:szCs w:val="20"/>
          <w:color w:val="auto"/>
        </w:rPr>
        <w:t>” for additional detail regarding our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60" w:lineRule="exact"/>
        <w:rPr>
          <w:sz w:val="20"/>
          <w:szCs w:val="20"/>
          <w:color w:val="auto"/>
        </w:rPr>
      </w:pPr>
    </w:p>
    <w:p>
      <w:pPr>
        <w:jc w:val="both"/>
        <w:ind w:right="320"/>
        <w:spacing w:after="0" w:line="281" w:lineRule="auto"/>
        <w:rPr>
          <w:sz w:val="20"/>
          <w:szCs w:val="20"/>
          <w:color w:val="auto"/>
        </w:rPr>
      </w:pPr>
      <w:r>
        <w:rPr>
          <w:rFonts w:ascii="Times New Roman" w:cs="Times New Roman" w:eastAsia="Times New Roman" w:hAnsi="Times New Roman"/>
          <w:sz w:val="19"/>
          <w:szCs w:val="19"/>
          <w:color w:val="auto"/>
        </w:rPr>
        <w:t>Market risk represents the risk of potential losses arising from changes in interest rates, foreign exchange rates, equity prices, commodity prices, and/or other relevant market rates or prices. The primary market risk to which we are exposed is interest rate risk. Interest rate risk arises from financial instruments including loans, securities and borrowings, all entered into for purposes other than trading.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Sensitivity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LendingClub Bank</w:t>
      </w:r>
    </w:p>
    <w:p>
      <w:pPr>
        <w:spacing w:after="0" w:line="25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Our net interest income is affected by changes in the level of interest rates, the impact of interest rate fluctuations on asset prepayments, and the level and composition of deposits and liabilities, among other factors.</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HFI loans and AFS securities at LC Bank are funded primarily through our deposit base. The majority of HFI loans and AFS securities are fixed-rate instruments over the term of the loan or security. As a result, the primary component of interest rate risk on our financial instruments arises from the impact of fluctuations in loan, security, and deposit rates on our net interest income. Therefore, we use a sensitivity analysis to assess the impact of hypothetical changes in interest rates on our net interest income results. The outcome of the analysis is influenced by a variety of assumptions, including the maturity profile and prepayment level of our unsecured consumer loans and expected consumer responses to changes in rates paid on non-maturity deposit products. Our assumptions are periodically calibrated to observed data and/or expected outcomes. We actively monitor the level of exposure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movements in interest rates and have entered into interest rate hedging instruments, some of which qualify for hedge accounting treatment, to manage such risk. See “</w:t>
      </w:r>
      <w:r>
        <w:rPr>
          <w:rFonts w:ascii="Times New Roman" w:cs="Times New Roman" w:eastAsia="Times New Roman" w:hAnsi="Times New Roman"/>
          <w:sz w:val="20"/>
          <w:szCs w:val="20"/>
          <w:i w:val="1"/>
          <w:iCs w:val="1"/>
          <w:color w:val="auto"/>
        </w:rPr>
        <w:t>Item 8. Financial Statements and Supplementary Data – Note 8. Derivative Instruments and Hedging Activities</w:t>
      </w:r>
      <w:r>
        <w:rPr>
          <w:rFonts w:ascii="Times New Roman" w:cs="Times New Roman" w:eastAsia="Times New Roman" w:hAnsi="Times New Roman"/>
          <w:sz w:val="20"/>
          <w:szCs w:val="20"/>
          <w:color w:val="auto"/>
        </w:rPr>
        <w:t>” for additional information.</w:t>
      </w:r>
    </w:p>
    <w:p>
      <w:pPr>
        <w:spacing w:after="0" w:line="208"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change in projected net interest income for the next twelve months due to a hypothetical instantaneous parallel change in interest rates relative to current rates: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1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Instantaneous Change in Interest Rates:</w:t>
            </w:r>
          </w:p>
        </w:tc>
        <w:tc>
          <w:tcPr>
            <w:tcW w:w="39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+ 200 basis points</w:t>
            </w:r>
          </w:p>
        </w:tc>
        <w:tc>
          <w:tcPr>
            <w:tcW w:w="39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(7.8)%</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+ 100 basis points</w:t>
            </w:r>
          </w:p>
        </w:tc>
        <w:tc>
          <w:tcPr>
            <w:tcW w:w="3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(3.8)%</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- 100 basis points</w:t>
            </w:r>
          </w:p>
        </w:tc>
        <w:tc>
          <w:tcPr>
            <w:tcW w:w="39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3.2 %</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57"/>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- 200 basis points</w:t>
            </w:r>
          </w:p>
        </w:tc>
        <w:tc>
          <w:tcPr>
            <w:tcW w:w="3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5.9 %</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r>
    </w:tbl>
    <w:p>
      <w:pPr>
        <w:spacing w:after="0" w:line="3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As illustrated in the table above, net interest income is projected to decrease over the next twelve months during hypothetical rising interest rate environments primarily as a result of higher rates paid on interest-bearing deposits, partially offset by higher rates earned on new loans, security purchases, and cash and cash equivalents, offset by the impact of our hedging activity. Conversely, net interest income is projected to increase over the next twelve months during hypothetical declining interest rate environments. The increase in sensitivity as of December 31, 2025 relative to the prior year is primarily due to the composition of our loans, deposits, and hedging instruments, as well as updates to certain key modeling assumptions that affect how changes in interest rates are projected to impact the repricing behavior of assets and liabilities. Furthermore, during fluctuating interest rate environments, the repricing of interest-bearing deposits is more impactful than that of repricing fixed-rate loans.</w:t>
      </w:r>
    </w:p>
    <w:p>
      <w:pPr>
        <w:spacing w:after="0" w:line="20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Although we believe that these measurements provide an estimate of our interest rate sensitivity, they do not account for potential changes in credit quality, balance sheet mix, size of our balance sheet, or other business developments that could affect net income. Actual results could differ materially from the estimated outcomes of our simulations.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maturities of loans and leases HFI at amortized cost and at fair value as of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Due After</w:t>
            </w:r>
          </w:p>
        </w:tc>
        <w:tc>
          <w:tcPr>
            <w:tcW w:w="5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Due in</w:t>
            </w:r>
          </w:p>
        </w:tc>
        <w:tc>
          <w:tcPr>
            <w:tcW w:w="220" w:type="dxa"/>
            <w:vAlign w:val="bottom"/>
          </w:tcPr>
          <w:p>
            <w:pPr>
              <w:spacing w:after="0"/>
              <w:rPr>
                <w:sz w:val="16"/>
                <w:szCs w:val="16"/>
                <w:color w:val="auto"/>
              </w:rPr>
            </w:pPr>
          </w:p>
        </w:tc>
        <w:tc>
          <w:tcPr>
            <w:tcW w:w="1100" w:type="dxa"/>
            <w:vAlign w:val="bottom"/>
          </w:tcPr>
          <w:p>
            <w:pPr>
              <w:jc w:val="right"/>
              <w:ind w:right="310"/>
              <w:spacing w:after="0" w:line="184" w:lineRule="exact"/>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16"/>
                <w:szCs w:val="16"/>
                <w:color w:val="auto"/>
              </w:rPr>
            </w:pPr>
          </w:p>
        </w:tc>
        <w:tc>
          <w:tcPr>
            <w:tcW w:w="11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5"/>
              </w:rPr>
              <w:t>5 Years</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Through</w:t>
            </w:r>
          </w:p>
        </w:tc>
        <w:tc>
          <w:tcPr>
            <w:tcW w:w="220" w:type="dxa"/>
            <w:vAlign w:val="bottom"/>
          </w:tcPr>
          <w:p>
            <w:pPr>
              <w:spacing w:after="0"/>
              <w:rPr>
                <w:sz w:val="15"/>
                <w:szCs w:val="15"/>
                <w:color w:val="auto"/>
              </w:rPr>
            </w:pPr>
          </w:p>
        </w:tc>
        <w:tc>
          <w:tcPr>
            <w:tcW w:w="11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 Year or Less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15 Years</w:t>
            </w:r>
          </w:p>
        </w:tc>
        <w:tc>
          <w:tcPr>
            <w:tcW w:w="16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personal</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2,803,770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662,183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3,664,720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mortgages</w:t>
            </w:r>
          </w:p>
        </w:tc>
        <w:tc>
          <w:tcPr>
            <w:tcW w:w="9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3,123</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137,768</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151,073</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consumer</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166,910</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90,828</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261,069</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consumer loans held for investment</w:t>
            </w: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205,221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2,980,862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890,779</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4,076,862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finance</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34,716</w:t>
            </w:r>
          </w:p>
        </w:tc>
        <w:tc>
          <w:tcPr>
            <w:tcW w:w="2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135,261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302,512</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472,489</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16,303</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140,025</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157,018</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commercial loans and leases held for investment</w:t>
            </w: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42,251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184,476</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442,537</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669,264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and leases held for investment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247,472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3,165,338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1,333,316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4,746,126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Loans and leases due after one year at fixed interest rates</w:t>
            </w:r>
          </w:p>
        </w:tc>
        <w:tc>
          <w:tcPr>
            <w:tcW w:w="9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3,092,527</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855,109</w:t>
            </w:r>
          </w:p>
        </w:tc>
        <w:tc>
          <w:tcPr>
            <w:tcW w:w="500" w:type="dxa"/>
            <w:vAlign w:val="bottom"/>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3,947,636</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leases due after one year at variable interest rates</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478,207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 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auto"/>
        </w:rPr>
        <w:t>For the contractual maturities and weighted-average yields on the Company’s AFS securities portfolio, see “</w:t>
      </w:r>
      <w:r>
        <w:rPr>
          <w:rFonts w:ascii="Times New Roman" w:cs="Times New Roman" w:eastAsia="Times New Roman" w:hAnsi="Times New Roman"/>
          <w:sz w:val="20"/>
          <w:szCs w:val="20"/>
          <w:i w:val="1"/>
          <w:iCs w:val="1"/>
          <w:color w:val="auto"/>
        </w:rPr>
        <w:t>Item 8.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Supplementary Data – Notes to Consolidated Financial Statements – Note 4. Securities Available for Sale.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LendingClub Holding Company</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At the holding company level, we continue to measure interest rate sensitivity by evaluating the change in fair value of certain assets and liabilities due to a hypothetical change in interest rates. Principal payments on our HFI loans continue to reduce the outstanding balance of this portfolio, and, as a result, the fair value impact from changes in interest rates continues to diminish.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Contingencies</w:t>
      </w:r>
    </w:p>
    <w:p>
      <w:pPr>
        <w:spacing w:after="0" w:line="24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color w:val="auto"/>
        </w:rPr>
        <w:t>For a comprehensive discussion of contingencies as of December 31, 2025, see “</w:t>
      </w:r>
      <w:r>
        <w:rPr>
          <w:rFonts w:ascii="Times New Roman" w:cs="Times New Roman" w:eastAsia="Times New Roman" w:hAnsi="Times New Roman"/>
          <w:sz w:val="20"/>
          <w:szCs w:val="20"/>
          <w:i w:val="1"/>
          <w:iCs w:val="1"/>
          <w:color w:val="auto"/>
        </w:rPr>
        <w:t>Item 8. Financial Statements and Supplementary Data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Notes to Consolidated Financial Statements – Note 18. Commitments and Contingencies.</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Our significant accounting policies are described in “</w:t>
      </w:r>
      <w:r>
        <w:rPr>
          <w:rFonts w:ascii="Times New Roman" w:cs="Times New Roman" w:eastAsia="Times New Roman" w:hAnsi="Times New Roman"/>
          <w:sz w:val="20"/>
          <w:szCs w:val="20"/>
          <w:i w:val="1"/>
          <w:iCs w:val="1"/>
          <w:color w:val="auto"/>
        </w:rPr>
        <w:t>Item 8. Financial Statements and Supplementary Data – Notes to Consolidated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Statements – Note 1. Summary of Significant Accounting Policies.</w:t>
      </w:r>
      <w:r>
        <w:rPr>
          <w:rFonts w:ascii="Times New Roman" w:cs="Times New Roman" w:eastAsia="Times New Roman" w:hAnsi="Times New Roman"/>
          <w:sz w:val="20"/>
          <w:szCs w:val="20"/>
          <w:color w:val="auto"/>
        </w:rPr>
        <w:t>” We consider certain of these policies to be critical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policies as they require significant management judgments, assumptions and estimates which we believe are critical in understanding and evaluating our reported financial results. These judgments, estimates and assumptions are inherently subjective and actual results may materially differ from these estimates and assumptions.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Loan and Lease Losses</w:t>
      </w:r>
    </w:p>
    <w:p>
      <w:pPr>
        <w:spacing w:after="0" w:line="26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Under the CECL methodology, we reserve for expected credit losses on our loan and lease portfolio when they are initially recorded as HFI at amortized cost through the ALLL by using a DCF approach to calculate the NPV of expected cash flows. Loans accounted for under the fair value option do not have an ALLL. Changes in the credit risk profile of our loans and leases result in changes in “Provision for credit losses” on the Income Statement with a resulting change, net of charge-offs and recoveries, in the ACL balance. The majority of our ALLL relates to unsecured personal loans.</w:t>
      </w:r>
    </w:p>
    <w:p>
      <w:pPr>
        <w:spacing w:after="0" w:line="2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ALLL represents our estimate of expected lifetime credit losses over the contractual life of the loan portfolio. Our determination of the ALLL is based on regular and periodic evaluation of the loan portfolio considering a number of relevant underlying factors, including key assumptions and evaluation of quantitative and qualitative information from internal and external sources. Estimates of expected future loan losses are determined by using statistical models and management’s judgment. The models are designed to forecast probability and timing of default, loss rate exposure at default, recovery expectations, and timing and amount of estimated prepayments. Our statistical models, applied at the portfolio level to pools of loans with similar risk characteristics, produce expected cash flows, which are then discounted at the effective interest rate to derive the NPV. The difference between the NPV and the amortized cost determines the ALLL. The effective interest rate is calculated based on the periodic interest income received from the loan’s contractual cash flows and the net investment in the loan, which includes deferred origination fees and marketing costs, to provide a constant rate of return over the contractual loan term. Under the DCF approach, the provision for credit losses includes credit loss expense in subsequent periods relating to the discounting effect due to the passage of time after the initial recognition of ALLL on originated loans and leases HFI at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Data and Ratios, or as Noted)</w:t>
      </w: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qualitative allowance is primarily based on macroeconomic unemployment forecast information provided by an external third-party economist, incorporating management’s judgment, and is included in the estimation of expected future expected credit losses. In addition, the qualitative allowance includes adjustments in circumstances where the statistical model output is inconsistent with management’s expectations relating to economic conditions and expected credit losses. Management may make adjustments as the assumptions in the underlying analyses change to reflect an estimate of expected lifetime loan losses and prepayments at the reporting date, based on the best information available at that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Sale at Fair Value</w:t>
      </w:r>
    </w:p>
    <w:p>
      <w:pPr>
        <w:spacing w:after="0" w:line="24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Loans initially classified as HFS are reported at their fair value with our election of the fair value option and are classified as Level 3 instruments. We use a DCF approach to calculate the NPV of expected cash flows. This model uses significant unobservable inputs that inherently require judgment and reflect our best estimates of the assumptions a market participant would use to calculate fair value. Those significant unobservable inputs used in the fair value measurement of HFS loans include:</w:t>
      </w:r>
    </w:p>
    <w:p>
      <w:pPr>
        <w:spacing w:after="0" w:line="209" w:lineRule="exact"/>
        <w:rPr>
          <w:sz w:val="20"/>
          <w:szCs w:val="20"/>
          <w:color w:val="auto"/>
        </w:rPr>
      </w:pPr>
    </w:p>
    <w:p>
      <w:pPr>
        <w:ind w:left="660" w:right="180" w:hanging="328"/>
        <w:spacing w:after="0" w:line="27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Discount Rate </w:t>
      </w:r>
      <w:r>
        <w:rPr>
          <w:rFonts w:ascii="Times New Roman" w:cs="Times New Roman" w:eastAsia="Times New Roman" w:hAnsi="Times New Roman"/>
          <w:sz w:val="20"/>
          <w:szCs w:val="20"/>
          <w:color w:val="auto"/>
        </w:rPr>
        <w:t>– The weighted-average rate at which the expected cash flows are discounted to arrive at the net present value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The discount rate is primarily determined based on marketplace investor return expectations.</w:t>
      </w:r>
    </w:p>
    <w:p>
      <w:pPr>
        <w:spacing w:after="0" w:line="192" w:lineRule="exact"/>
        <w:rPr>
          <w:rFonts w:ascii="Times New Roman" w:cs="Times New Roman" w:eastAsia="Times New Roman" w:hAnsi="Times New Roman"/>
          <w:sz w:val="20"/>
          <w:szCs w:val="20"/>
          <w:color w:val="auto"/>
        </w:rPr>
      </w:pPr>
    </w:p>
    <w:p>
      <w:pPr>
        <w:ind w:left="660" w:right="500" w:hanging="328"/>
        <w:spacing w:after="0" w:line="27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Annualized net credit loss rate </w:t>
      </w:r>
      <w:r>
        <w:rPr>
          <w:rFonts w:ascii="Times New Roman" w:cs="Times New Roman" w:eastAsia="Times New Roman" w:hAnsi="Times New Roman"/>
          <w:sz w:val="20"/>
          <w:szCs w:val="20"/>
          <w:color w:val="auto"/>
        </w:rPr>
        <w:t>– The annualized rate of lifetime charge-offs, net of recoveries, expressed as a percentage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average lifetime principal balance of loan pools with similar characteristics.</w:t>
      </w:r>
    </w:p>
    <w:p>
      <w:pPr>
        <w:spacing w:after="0" w:line="192" w:lineRule="exact"/>
        <w:rPr>
          <w:rFonts w:ascii="Times New Roman" w:cs="Times New Roman" w:eastAsia="Times New Roman" w:hAnsi="Times New Roman"/>
          <w:sz w:val="20"/>
          <w:szCs w:val="20"/>
          <w:color w:val="auto"/>
        </w:rPr>
      </w:pPr>
    </w:p>
    <w:p>
      <w:pPr>
        <w:ind w:left="660" w:right="620" w:hanging="328"/>
        <w:spacing w:after="0" w:line="287"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Annualized prepayment rate </w:t>
      </w:r>
      <w:r>
        <w:rPr>
          <w:rFonts w:ascii="Times New Roman" w:cs="Times New Roman" w:eastAsia="Times New Roman" w:hAnsi="Times New Roman"/>
          <w:sz w:val="20"/>
          <w:szCs w:val="20"/>
          <w:color w:val="auto"/>
        </w:rPr>
        <w:t>– The annualized rate of lifetime prepayments expressed as a percentage of the average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balance of loan pools with similar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color w:val="auto"/>
        </w:rPr>
        <w:t>For a comprehensive discussion regarding quantitative and qualitative disclosures about market risk, see “</w:t>
      </w:r>
      <w:r>
        <w:rPr>
          <w:rFonts w:ascii="Times New Roman" w:cs="Times New Roman" w:eastAsia="Times New Roman" w:hAnsi="Times New Roman"/>
          <w:sz w:val="20"/>
          <w:szCs w:val="20"/>
          <w:i w:val="1"/>
          <w:iCs w:val="1"/>
          <w:color w:val="auto"/>
        </w:rPr>
        <w:t>Item 7. 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Analysis of Financial Condition and Results of Operations – Market Risk.</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Financial Statements of LendingClub Corporation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1004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(PCAOB ID No. </w:t>
            </w:r>
            <w:r>
              <w:rPr>
                <w:rFonts w:ascii="Times New Roman" w:cs="Times New Roman" w:eastAsia="Times New Roman" w:hAnsi="Times New Roman"/>
                <w:sz w:val="20"/>
                <w:szCs w:val="20"/>
                <w:color w:val="000000"/>
              </w:rPr>
              <w:t>34</w:t>
            </w:r>
            <w:r>
              <w:rPr>
                <w:rFonts w:ascii="Times New Roman" w:cs="Times New Roman" w:eastAsia="Times New Roman" w:hAnsi="Times New Roman"/>
                <w:sz w:val="20"/>
                <w:szCs w:val="20"/>
                <w:u w:val="single" w:color="auto"/>
                <w:color w:val="0000FF"/>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83</w:t>
            </w:r>
          </w:p>
        </w:tc>
        <w:tc>
          <w:tcPr>
            <w:tcW w:w="20" w:type="dxa"/>
            <w:vAlign w:val="bottom"/>
            <w:shd w:val="clear" w:color="auto" w:fill="CCEEFF"/>
          </w:tcPr>
          <w:p>
            <w:pPr>
              <w:spacing w:after="0"/>
              <w:rPr>
                <w:sz w:val="19"/>
                <w:szCs w:val="19"/>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060" w:type="dxa"/>
            <w:vAlign w:val="bottom"/>
            <w:gridSpan w:val="26"/>
          </w:tcPr>
          <w:p>
            <w:pPr>
              <w:spacing w:after="0" w:line="203" w:lineRule="exact"/>
              <w:rPr>
                <w:sz w:val="20"/>
                <w:szCs w:val="20"/>
                <w:color w:val="auto"/>
              </w:rPr>
            </w:pPr>
            <w:r>
              <w:rPr>
                <w:rFonts w:ascii="Times New Roman" w:cs="Times New Roman" w:eastAsia="Times New Roman" w:hAnsi="Times New Roman"/>
                <w:sz w:val="20"/>
                <w:szCs w:val="20"/>
                <w:color w:val="0000FF"/>
              </w:rPr>
              <w:t>Consolidated Balance Sheets</w:t>
            </w:r>
          </w:p>
        </w:tc>
        <w:tc>
          <w:tcPr>
            <w:tcW w:w="3980" w:type="dxa"/>
            <w:vAlign w:val="bottom"/>
            <w:gridSpan w:val="3"/>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84</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04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Consolidated Statements of Income</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85</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0040" w:type="dxa"/>
            <w:vAlign w:val="bottom"/>
            <w:gridSpan w:val="29"/>
          </w:tcPr>
          <w:p>
            <w:pPr>
              <w:spacing w:after="0" w:line="203" w:lineRule="exact"/>
              <w:rPr>
                <w:sz w:val="20"/>
                <w:szCs w:val="20"/>
                <w:color w:val="auto"/>
              </w:rPr>
            </w:pPr>
            <w:r>
              <w:rPr>
                <w:rFonts w:ascii="Times New Roman" w:cs="Times New Roman" w:eastAsia="Times New Roman" w:hAnsi="Times New Roman"/>
                <w:sz w:val="20"/>
                <w:szCs w:val="20"/>
                <w:color w:val="0000FF"/>
              </w:rPr>
              <w:t>Consolidated Statements of Comprehensive Income</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86</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370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Consolidated Statements of Changes in Equity</w:t>
            </w:r>
          </w:p>
        </w:tc>
        <w:tc>
          <w:tcPr>
            <w:tcW w:w="6340" w:type="dxa"/>
            <w:vAlign w:val="bottom"/>
            <w:gridSpan w:val="9"/>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87</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70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Consolidated Statements of Cash Flows</w:t>
            </w:r>
          </w:p>
        </w:tc>
        <w:tc>
          <w:tcPr>
            <w:tcW w:w="6340" w:type="dxa"/>
            <w:vAlign w:val="bottom"/>
            <w:gridSpan w:val="9"/>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88</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040" w:type="dxa"/>
            <w:vAlign w:val="bottom"/>
            <w:gridSpan w:val="29"/>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90</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2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 Summary of Significant Accounting Policies</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90</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gridSpan w:val="11"/>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7"/>
              </w:rPr>
              <w:t>Note 2. Marketplace Revenue</w:t>
            </w:r>
          </w:p>
        </w:tc>
        <w:tc>
          <w:tcPr>
            <w:tcW w:w="7340" w:type="dxa"/>
            <w:vAlign w:val="bottom"/>
            <w:gridSpan w:val="17"/>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100</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11"/>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3. Earnings Per Share</w:t>
            </w:r>
          </w:p>
        </w:tc>
        <w:tc>
          <w:tcPr>
            <w:tcW w:w="7340" w:type="dxa"/>
            <w:vAlign w:val="bottom"/>
            <w:gridSpan w:val="17"/>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100</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00" w:type="dxa"/>
            <w:vAlign w:val="bottom"/>
            <w:gridSpan w:val="16"/>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7"/>
              </w:rPr>
              <w:t>Note 4. Securities Available for Sale</w:t>
            </w:r>
          </w:p>
        </w:tc>
        <w:tc>
          <w:tcPr>
            <w:tcW w:w="6820" w:type="dxa"/>
            <w:vAlign w:val="bottom"/>
            <w:gridSpan w:val="12"/>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101</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2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5. Loans and Leases Held for Investment at Amortized Cost, Net of Allowance for Loan and Lease Losses</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104</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38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0000FF"/>
            </w:tcBorders>
            <w:gridSpan w:val="24"/>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8"/>
              </w:rPr>
              <w:t>Note 6. Structured Program Transactions and Variable Interest Entities</w:t>
            </w:r>
          </w:p>
        </w:tc>
        <w:tc>
          <w:tcPr>
            <w:tcW w:w="4120" w:type="dxa"/>
            <w:vAlign w:val="bottom"/>
            <w:tcBorders>
              <w:bottom w:val="single" w:sz="8" w:color="CCEEFF"/>
            </w:tcBorders>
            <w:gridSpan w:val="4"/>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93"/>
              </w:rPr>
              <w:t>112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2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7. Fair Value Measurements</w:t>
            </w:r>
          </w:p>
        </w:tc>
        <w:tc>
          <w:tcPr>
            <w:tcW w:w="116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20"/>
                <w:szCs w:val="20"/>
                <w:color w:val="0000FF"/>
              </w:rPr>
              <w:t>114</w:t>
            </w: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20" w:type="dxa"/>
            <w:vAlign w:val="bottom"/>
            <w:gridSpan w:val="2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8. Derivative Instruments and Hedging Activities</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122</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gridSpan w:val="23"/>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9. Property, Equipment and Software, net</w:t>
            </w:r>
          </w:p>
        </w:tc>
        <w:tc>
          <w:tcPr>
            <w:tcW w:w="5380" w:type="dxa"/>
            <w:vAlign w:val="bottom"/>
            <w:gridSpan w:val="5"/>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125</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20" w:type="dxa"/>
            <w:vAlign w:val="bottom"/>
            <w:gridSpan w:val="2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10. Goodwill and Intangible Assets</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125</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gridSpan w:val="1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11. Other Assets</w:t>
            </w:r>
          </w:p>
        </w:tc>
        <w:tc>
          <w:tcPr>
            <w:tcW w:w="6480" w:type="dxa"/>
            <w:vAlign w:val="bottom"/>
            <w:gridSpan w:val="10"/>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126</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7"/>
              </w:rPr>
              <w:t>Note 12. Deposits</w:t>
            </w:r>
          </w:p>
        </w:tc>
        <w:tc>
          <w:tcPr>
            <w:tcW w:w="8280" w:type="dxa"/>
            <w:vAlign w:val="bottom"/>
            <w:gridSpan w:val="25"/>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127</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2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13. Borrowings</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127</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20" w:type="dxa"/>
            <w:vAlign w:val="bottom"/>
            <w:gridSpan w:val="2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14. Other Liabilities</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128</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8"/>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15. Equity</w:t>
            </w:r>
          </w:p>
        </w:tc>
        <w:tc>
          <w:tcPr>
            <w:tcW w:w="7680" w:type="dxa"/>
            <w:vAlign w:val="bottom"/>
            <w:gridSpan w:val="20"/>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128</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20" w:type="dxa"/>
            <w:vAlign w:val="bottom"/>
            <w:gridSpan w:val="2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16. Income Taxes</w:t>
            </w: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130</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6"/>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17. Leases</w:t>
            </w:r>
          </w:p>
        </w:tc>
        <w:tc>
          <w:tcPr>
            <w:tcW w:w="7880" w:type="dxa"/>
            <w:vAlign w:val="bottom"/>
            <w:gridSpan w:val="22"/>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133</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380" w:type="dxa"/>
            <w:vAlign w:val="bottom"/>
            <w:gridSpan w:val="19"/>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8"/>
              </w:rPr>
              <w:t>Note 18. Commitments and Contingencies</w:t>
            </w:r>
          </w:p>
        </w:tc>
        <w:tc>
          <w:tcPr>
            <w:tcW w:w="6340" w:type="dxa"/>
            <w:vAlign w:val="bottom"/>
            <w:gridSpan w:val="9"/>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135</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19"/>
          </w:tcPr>
          <w:p>
            <w:pPr>
              <w:ind w:left="20"/>
              <w:spacing w:after="0" w:line="203" w:lineRule="exact"/>
              <w:rPr>
                <w:sz w:val="20"/>
                <w:szCs w:val="20"/>
                <w:color w:val="auto"/>
              </w:rPr>
            </w:pPr>
            <w:r>
              <w:rPr>
                <w:rFonts w:ascii="Times New Roman" w:cs="Times New Roman" w:eastAsia="Times New Roman" w:hAnsi="Times New Roman"/>
                <w:sz w:val="20"/>
                <w:szCs w:val="20"/>
                <w:color w:val="0000FF"/>
              </w:rPr>
              <w:t>Note 19. Regulatory Requirements</w:t>
            </w:r>
          </w:p>
        </w:tc>
        <w:tc>
          <w:tcPr>
            <w:tcW w:w="6340" w:type="dxa"/>
            <w:vAlign w:val="bottom"/>
            <w:gridSpan w:val="9"/>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136</w:t>
            </w:r>
          </w:p>
        </w:tc>
        <w:tc>
          <w:tcPr>
            <w:tcW w:w="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80" w:type="dxa"/>
            <w:vAlign w:val="bottom"/>
            <w:gridSpan w:val="10"/>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color w:val="0000FF"/>
                <w:w w:val="97"/>
              </w:rPr>
              <w:t>Note 20. Segment Reporting</w:t>
            </w:r>
          </w:p>
        </w:tc>
        <w:tc>
          <w:tcPr>
            <w:tcW w:w="7440" w:type="dxa"/>
            <w:vAlign w:val="bottom"/>
            <w:gridSpan w:val="18"/>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138</w:t>
            </w:r>
          </w:p>
        </w:tc>
        <w:tc>
          <w:tcPr>
            <w:tcW w:w="2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80" w:type="dxa"/>
            <w:vAlign w:val="bottom"/>
            <w:gridSpan w:val="26"/>
          </w:tcPr>
          <w:p>
            <w:pPr>
              <w:ind w:left="20"/>
              <w:spacing w:after="0" w:line="203" w:lineRule="exact"/>
              <w:rPr>
                <w:sz w:val="20"/>
                <w:szCs w:val="20"/>
                <w:color w:val="auto"/>
              </w:rPr>
            </w:pPr>
            <w:r>
              <w:rPr>
                <w:rFonts w:ascii="Times New Roman" w:cs="Times New Roman" w:eastAsia="Times New Roman" w:hAnsi="Times New Roman"/>
                <w:sz w:val="20"/>
                <w:szCs w:val="20"/>
                <w:color w:val="0000FF"/>
                <w:w w:val="98"/>
              </w:rPr>
              <w:t>Note 21. LendingClub Corporation – Parent Company-Only Financial Statements</w:t>
            </w:r>
          </w:p>
        </w:tc>
        <w:tc>
          <w:tcPr>
            <w:tcW w:w="3240" w:type="dxa"/>
            <w:vAlign w:val="bottom"/>
            <w:gridSpan w:val="2"/>
          </w:tcPr>
          <w:p>
            <w:pPr>
              <w:spacing w:after="0"/>
              <w:rPr>
                <w:sz w:val="17"/>
                <w:szCs w:val="17"/>
                <w:color w:val="auto"/>
              </w:rPr>
            </w:pP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141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85" w:name="page86"/>
    <w:bookmarkEnd w:id="8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LendingClub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LendingClub Corporation and subsidiaries (the “Company”) as of December 31, 2025 and 2024, the related consolidated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and our report dated February 12,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2026, expressed an unqualified opinion on the Company’s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ind w:right="60" w:firstLine="8"/>
        <w:spacing w:after="0" w:line="273" w:lineRule="auto"/>
        <w:tabs>
          <w:tab w:leader="none" w:pos="21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Allowance for loan and lease losses – Consumer Loans – Refer to “</w:t>
      </w:r>
      <w:r>
        <w:rPr>
          <w:rFonts w:ascii="Times New Roman" w:cs="Times New Roman" w:eastAsia="Times New Roman" w:hAnsi="Times New Roman"/>
          <w:sz w:val="20"/>
          <w:szCs w:val="20"/>
          <w:b w:val="1"/>
          <w:bCs w:val="1"/>
          <w:i w:val="1"/>
          <w:iCs w:val="1"/>
          <w:color w:val="auto"/>
        </w:rPr>
        <w:t>Note 5. Loans and Leases Held for Investment at Amortized Cost,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Net of Allowance for Loan and Lease Losses</w:t>
      </w:r>
      <w:r>
        <w:rPr>
          <w:rFonts w:ascii="Times New Roman" w:cs="Times New Roman" w:eastAsia="Times New Roman" w:hAnsi="Times New Roman"/>
          <w:sz w:val="20"/>
          <w:szCs w:val="20"/>
          <w:b w:val="1"/>
          <w:bCs w:val="1"/>
          <w:color w:val="auto"/>
        </w:rPr>
        <w:t>”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Critical Audit Matter Description</w:t>
      </w:r>
    </w:p>
    <w:p>
      <w:pPr>
        <w:spacing w:after="0" w:line="24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allowance for loan and lease losses (ALLL) on consumer loans represents the Company’s estimate of expected lifetime credit losses over the contractual life of the loan portfolio. The majority of the ALLL relates to the</w:t>
      </w:r>
    </w:p>
    <w:p>
      <w:pPr>
        <w:spacing w:after="0" w:line="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unsecured personal loans class of financing receivables within the consumer portfolio segment. The determination of the ALLL is based on the Company’s periodic evaluation of performance of the consumer portfolio segment considering a number of underlying factors, including key assumptions and quantitative and qualitative information. The estimate of expected future loan losses is determined using statistical models and management’s judgment.</w:t>
      </w:r>
    </w:p>
    <w:p>
      <w:pPr>
        <w:spacing w:after="0" w:line="21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quantitative component of the ALLL is primarily based on statistical models using a discounted cash flow approach and known and estimated data based on current probability and timing of defaults, loss rate and recovery exposure at default, timing and amount of estimated prepayments, and relevant risk characteristics to estimate the shortfall in contractual cash flows for each loan pool over the remaining life of the loans.</w:t>
      </w:r>
    </w:p>
    <w:p>
      <w:pPr>
        <w:spacing w:after="0" w:line="21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9"/>
          <w:szCs w:val="19"/>
          <w:color w:val="auto"/>
        </w:rPr>
        <w:t>Qualitative adjustments to the modeled estimate of expected credit losses are also considered to address certain identified elements that are not directly captured by the statistical models. The qualitative allowance is primarily based on a macroeconomic unemployment forecast</w:t>
      </w:r>
    </w:p>
    <w:p>
      <w:pPr>
        <w:spacing w:after="0" w:line="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provided by an external third-party economist, and also incorporates management’s judgment. In addition, the qualitative allowance includes adjustments in circumstances where the statistical model output is inconsistent with management’s expectations related to economic conditions and expected credit losses.</w:t>
      </w:r>
    </w:p>
    <w:p>
      <w:pPr>
        <w:spacing w:after="0" w:line="20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Given the size of the unsecured personal loan portfolio and the subjective nature of estimating the ALLL, including management’s expectations related to macroeconomic conditions and expected losses, auditing the ALLL involved a high degree of auditor judgment and an increased extent of effort, including the need to involve our credit specialists.</w:t>
      </w:r>
    </w:p>
    <w:p>
      <w:pPr>
        <w:sectPr>
          <w:pgSz w:w="11900" w:h="16890" w:orient="portrait"/>
          <w:cols w:equalWidth="0" w:num="1">
            <w:col w:w="11240"/>
          </w:cols>
          <w:pgMar w:left="320" w:top="882" w:right="339"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How the Critical Audit Matter Was Addressed in the Audit</w:t>
      </w:r>
    </w:p>
    <w:p>
      <w:pPr>
        <w:spacing w:after="0" w:line="24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auto"/>
        </w:rPr>
        <w:t>Our audit procedures related to the models and assumptions used by management to estimate the allowance for loan losses relating to the unsecured personal loan portfolio, included the following, among others:</w:t>
      </w:r>
    </w:p>
    <w:p>
      <w:pPr>
        <w:spacing w:after="0" w:line="200" w:lineRule="exact"/>
        <w:rPr>
          <w:sz w:val="20"/>
          <w:szCs w:val="20"/>
          <w:color w:val="auto"/>
        </w:rPr>
      </w:pPr>
    </w:p>
    <w:p>
      <w:pPr>
        <w:ind w:left="640" w:hanging="308"/>
        <w:spacing w:after="0"/>
        <w:tabs>
          <w:tab w:leader="none" w:pos="6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the controls, including those related to the models, key data inputs and management assumptions.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credit specialists, we evaluated:</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appropriateness of the methodology and models.</w:t>
      </w:r>
    </w:p>
    <w:p>
      <w:pPr>
        <w:spacing w:after="0" w:line="40" w:lineRule="exact"/>
        <w:rPr>
          <w:rFonts w:ascii="Times New Roman" w:cs="Times New Roman" w:eastAsia="Times New Roman" w:hAnsi="Times New Roman"/>
          <w:sz w:val="20"/>
          <w:szCs w:val="20"/>
          <w:color w:val="auto"/>
        </w:rPr>
      </w:pPr>
    </w:p>
    <w:p>
      <w:pPr>
        <w:ind w:left="1300" w:right="500" w:hanging="320"/>
        <w:spacing w:after="0" w:line="267" w:lineRule="auto"/>
        <w:tabs>
          <w:tab w:leader="none" w:pos="1288"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reasonableness of management’s significant assumptions utilized in the models including the estimated loss rates, estimated prepayment rates, and estimated recovery rates.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reasonableness of any qualitative adjustments (or lack thereof) to the modeled expected cash flow output.</w:t>
      </w:r>
    </w:p>
    <w:p>
      <w:pPr>
        <w:spacing w:after="0" w:line="40"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4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accuracy of the key data inputs, including historical loan data consumed by the models used to calculate the expected credit losses.</w:t>
      </w:r>
    </w:p>
    <w:p>
      <w:pPr>
        <w:spacing w:after="0" w:line="290" w:lineRule="exact"/>
        <w:rPr>
          <w:rFonts w:ascii="Times New Roman" w:cs="Times New Roman" w:eastAsia="Times New Roman" w:hAnsi="Times New Roman"/>
          <w:sz w:val="20"/>
          <w:szCs w:val="20"/>
          <w:color w:val="auto"/>
        </w:rPr>
      </w:pPr>
    </w:p>
    <w:p>
      <w:pPr>
        <w:ind w:right="360" w:firstLine="8"/>
        <w:spacing w:after="0" w:line="273" w:lineRule="auto"/>
        <w:tabs>
          <w:tab w:leader="none" w:pos="214"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 – Loans held for sale at fair value – Refer to “</w:t>
      </w:r>
      <w:r>
        <w:rPr>
          <w:rFonts w:ascii="Times New Roman" w:cs="Times New Roman" w:eastAsia="Times New Roman" w:hAnsi="Times New Roman"/>
          <w:sz w:val="20"/>
          <w:szCs w:val="20"/>
          <w:b w:val="1"/>
          <w:bCs w:val="1"/>
          <w:i w:val="1"/>
          <w:iCs w:val="1"/>
          <w:color w:val="auto"/>
        </w:rPr>
        <w:t>Note 7. Fair Value Measurements</w:t>
      </w:r>
      <w:r>
        <w:rPr>
          <w:rFonts w:ascii="Times New Roman" w:cs="Times New Roman" w:eastAsia="Times New Roman" w:hAnsi="Times New Roman"/>
          <w:sz w:val="20"/>
          <w:szCs w:val="20"/>
          <w:b w:val="1"/>
          <w:bCs w:val="1"/>
          <w:color w:val="auto"/>
        </w:rPr>
        <w:t>” to the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Critical Audit Matter Description</w:t>
      </w:r>
    </w:p>
    <w:p>
      <w:pPr>
        <w:spacing w:after="0" w:line="24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Loans classified as held for sale (HFS) are reported at their fair value with the Company’s election of the fair value option and are classified as Level 3 instruments. The Company uses a discounted cash flow model to estimate the fair value of loans classified as HFS based on the present value of estimated future cash flows. The significant unobservable inputs used in the fair value measurement include discount rate, annualized net credit loss rate and annualized prepayment rate.</w:t>
      </w:r>
    </w:p>
    <w:p>
      <w:pPr>
        <w:spacing w:after="0" w:line="212"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color w:val="auto"/>
        </w:rPr>
        <w:t>Given the subjective nature of estimating the fair value measurement, including certain unobservable inputs management used to estimate fair value, auditing the fair value measurement of certain loans classified as HFS involved a high degree of auditor judgment and an increased extent of effort, including the need to involve our fair value specialists.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the Critical Audit Matter Was Addressed in the Audit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fair value of certain loans classified as HFS included the following, among others:</w:t>
      </w:r>
    </w:p>
    <w:p>
      <w:pPr>
        <w:spacing w:after="0" w:line="243" w:lineRule="exact"/>
        <w:rPr>
          <w:sz w:val="20"/>
          <w:szCs w:val="20"/>
          <w:color w:val="auto"/>
        </w:rPr>
      </w:pPr>
    </w:p>
    <w:p>
      <w:pPr>
        <w:ind w:left="660" w:hanging="328"/>
        <w:spacing w:after="0" w:line="255" w:lineRule="auto"/>
        <w:tabs>
          <w:tab w:leader="none" w:pos="64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the controls over management's valuation of certain loans classified as HFS, including those related to the unobservable inputs.</w:t>
      </w:r>
    </w:p>
    <w:p>
      <w:pPr>
        <w:spacing w:after="0" w:line="10" w:lineRule="exact"/>
        <w:rPr>
          <w:rFonts w:ascii="Times New Roman" w:cs="Times New Roman" w:eastAsia="Times New Roman" w:hAnsi="Times New Roman"/>
          <w:sz w:val="20"/>
          <w:szCs w:val="20"/>
          <w:color w:val="auto"/>
        </w:rPr>
      </w:pPr>
    </w:p>
    <w:p>
      <w:pPr>
        <w:ind w:left="660" w:right="80" w:hanging="328"/>
        <w:spacing w:after="0" w:line="260" w:lineRule="auto"/>
        <w:tabs>
          <w:tab w:leader="none" w:pos="64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developed a range of independent fair value estimates of certain loans classified as HFS, including the unobservable inputs, and compared our estimates to the Company’s estimates.</w:t>
      </w:r>
    </w:p>
    <w:p>
      <w:pPr>
        <w:spacing w:after="0" w:line="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4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accuracy of the key data inputs, including historical loan data used to develop our range of independent fair value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6" w:right="4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8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and due from banks</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11,749</w:t>
            </w:r>
          </w:p>
        </w:tc>
        <w:tc>
          <w:tcPr>
            <w:tcW w:w="4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15,524</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Interest-bearing deposits in banks</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905,905</w:t>
            </w:r>
          </w:p>
        </w:tc>
        <w:tc>
          <w:tcPr>
            <w:tcW w:w="4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938,534</w:t>
            </w:r>
          </w:p>
        </w:tc>
        <w:tc>
          <w:tcPr>
            <w:tcW w:w="0" w:type="dxa"/>
            <w:vAlign w:val="bottom"/>
          </w:tcPr>
          <w:p>
            <w:pPr>
              <w:spacing w:after="0"/>
              <w:rPr>
                <w:sz w:val="1"/>
                <w:szCs w:val="1"/>
                <w:color w:val="auto"/>
              </w:rPr>
            </w:pPr>
          </w:p>
        </w:tc>
      </w:tr>
      <w:tr>
        <w:trPr>
          <w:trHeight w:val="250"/>
        </w:trPr>
        <w:tc>
          <w:tcPr>
            <w:tcW w:w="77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38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917,654</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954,058</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Restricted cash</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12,783</w:t>
            </w: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23,338</w:t>
            </w:r>
          </w:p>
        </w:tc>
        <w:tc>
          <w:tcPr>
            <w:tcW w:w="0" w:type="dxa"/>
            <w:vAlign w:val="bottom"/>
          </w:tcPr>
          <w:p>
            <w:pPr>
              <w:spacing w:after="0"/>
              <w:rPr>
                <w:sz w:val="1"/>
                <w:szCs w:val="1"/>
                <w:color w:val="auto"/>
              </w:rPr>
            </w:pPr>
          </w:p>
        </w:tc>
      </w:tr>
      <w:tr>
        <w:trPr>
          <w:trHeight w:val="193"/>
        </w:trPr>
        <w:tc>
          <w:tcPr>
            <w:tcW w:w="7780" w:type="dxa"/>
            <w:vAlign w:val="bottom"/>
          </w:tcPr>
          <w:p>
            <w:pPr>
              <w:ind w:left="140"/>
              <w:spacing w:after="0" w:line="193" w:lineRule="exact"/>
              <w:rPr>
                <w:sz w:val="20"/>
                <w:szCs w:val="20"/>
                <w:color w:val="auto"/>
              </w:rPr>
            </w:pPr>
            <w:r>
              <w:rPr>
                <w:rFonts w:ascii="Times New Roman" w:cs="Times New Roman" w:eastAsia="Times New Roman" w:hAnsi="Times New Roman"/>
                <w:sz w:val="20"/>
                <w:szCs w:val="20"/>
                <w:color w:val="auto"/>
              </w:rPr>
              <w:t>Securities available for sale at fair value ($3,733,780 and $3,492,264 at amortized cost,</w:t>
            </w:r>
          </w:p>
        </w:tc>
        <w:tc>
          <w:tcPr>
            <w:tcW w:w="380" w:type="dxa"/>
            <w:vAlign w:val="bottom"/>
          </w:tcPr>
          <w:p>
            <w:pPr>
              <w:spacing w:after="0"/>
              <w:rPr>
                <w:sz w:val="16"/>
                <w:szCs w:val="16"/>
                <w:color w:val="auto"/>
              </w:rPr>
            </w:pPr>
          </w:p>
        </w:tc>
        <w:tc>
          <w:tcPr>
            <w:tcW w:w="13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3,706,709</w:t>
            </w:r>
          </w:p>
        </w:tc>
        <w:tc>
          <w:tcPr>
            <w:tcW w:w="4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3,452,648</w:t>
            </w:r>
          </w:p>
        </w:tc>
        <w:tc>
          <w:tcPr>
            <w:tcW w:w="0" w:type="dxa"/>
            <w:vAlign w:val="bottom"/>
          </w:tcPr>
          <w:p>
            <w:pPr>
              <w:spacing w:after="0"/>
              <w:rPr>
                <w:sz w:val="1"/>
                <w:szCs w:val="1"/>
                <w:color w:val="auto"/>
              </w:rPr>
            </w:pPr>
          </w:p>
        </w:tc>
      </w:tr>
      <w:tr>
        <w:trPr>
          <w:trHeight w:val="252"/>
        </w:trPr>
        <w:tc>
          <w:tcPr>
            <w:tcW w:w="7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respectively)</w:t>
            </w: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Loans held for sale at fair value</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1,762,396</w:t>
            </w: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636,352</w:t>
            </w:r>
          </w:p>
        </w:tc>
        <w:tc>
          <w:tcPr>
            <w:tcW w:w="0" w:type="dxa"/>
            <w:vAlign w:val="bottom"/>
          </w:tcPr>
          <w:p>
            <w:pPr>
              <w:spacing w:after="0"/>
              <w:rPr>
                <w:sz w:val="1"/>
                <w:szCs w:val="1"/>
                <w:color w:val="auto"/>
              </w:rPr>
            </w:pPr>
          </w:p>
        </w:tc>
      </w:tr>
      <w:tr>
        <w:trPr>
          <w:trHeight w:val="256"/>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Loans and leases held for investment</w:t>
            </w:r>
          </w:p>
        </w:tc>
        <w:tc>
          <w:tcPr>
            <w:tcW w:w="38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4,272,812</w:t>
            </w:r>
          </w:p>
        </w:tc>
        <w:tc>
          <w:tcPr>
            <w:tcW w:w="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4,125,818</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(275,743)</w:t>
            </w:r>
          </w:p>
        </w:tc>
        <w:tc>
          <w:tcPr>
            <w:tcW w:w="4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(236,734)</w:t>
            </w:r>
          </w:p>
        </w:tc>
        <w:tc>
          <w:tcPr>
            <w:tcW w:w="0" w:type="dxa"/>
            <w:vAlign w:val="bottom"/>
          </w:tcPr>
          <w:p>
            <w:pPr>
              <w:spacing w:after="0"/>
              <w:rPr>
                <w:sz w:val="1"/>
                <w:szCs w:val="1"/>
                <w:color w:val="auto"/>
              </w:rPr>
            </w:pPr>
          </w:p>
        </w:tc>
      </w:tr>
      <w:tr>
        <w:trPr>
          <w:trHeight w:val="250"/>
        </w:trPr>
        <w:tc>
          <w:tcPr>
            <w:tcW w:w="77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Loans and leases held for investment, net</w:t>
            </w:r>
          </w:p>
        </w:tc>
        <w:tc>
          <w:tcPr>
            <w:tcW w:w="38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3,997,069</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3,889,084</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473,314</w:t>
            </w: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1,027,798</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equipment and software, net</w:t>
            </w:r>
          </w:p>
        </w:tc>
        <w:tc>
          <w:tcPr>
            <w:tcW w:w="38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254,088</w:t>
            </w:r>
          </w:p>
        </w:tc>
        <w:tc>
          <w:tcPr>
            <w:tcW w:w="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167,532</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75,717</w:t>
            </w: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75,717</w:t>
            </w:r>
          </w:p>
        </w:tc>
        <w:tc>
          <w:tcPr>
            <w:tcW w:w="0" w:type="dxa"/>
            <w:vAlign w:val="bottom"/>
          </w:tcPr>
          <w:p>
            <w:pPr>
              <w:spacing w:after="0"/>
              <w:rPr>
                <w:sz w:val="1"/>
                <w:szCs w:val="1"/>
                <w:color w:val="auto"/>
              </w:rPr>
            </w:pPr>
          </w:p>
        </w:tc>
      </w:tr>
      <w:tr>
        <w:trPr>
          <w:trHeight w:val="257"/>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368,086</w:t>
            </w:r>
          </w:p>
        </w:tc>
        <w:tc>
          <w:tcPr>
            <w:tcW w:w="4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403,982</w:t>
            </w:r>
          </w:p>
        </w:tc>
        <w:tc>
          <w:tcPr>
            <w:tcW w:w="0" w:type="dxa"/>
            <w:vAlign w:val="bottom"/>
          </w:tcPr>
          <w:p>
            <w:pPr>
              <w:spacing w:after="0"/>
              <w:rPr>
                <w:sz w:val="1"/>
                <w:szCs w:val="1"/>
                <w:color w:val="auto"/>
              </w:rPr>
            </w:pPr>
          </w:p>
        </w:tc>
      </w:tr>
      <w:tr>
        <w:trPr>
          <w:trHeight w:val="275"/>
        </w:trPr>
        <w:tc>
          <w:tcPr>
            <w:tcW w:w="77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11,567,816</w:t>
            </w:r>
          </w:p>
        </w:tc>
        <w:tc>
          <w:tcPr>
            <w:tcW w:w="4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10,630,509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7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Deposits: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Interest-bearing</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9,459,483</w:t>
            </w:r>
          </w:p>
        </w:tc>
        <w:tc>
          <w:tcPr>
            <w:tcW w:w="4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8,676,119</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Noninterest-bearing</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374,387</w:t>
            </w:r>
          </w:p>
        </w:tc>
        <w:tc>
          <w:tcPr>
            <w:tcW w:w="4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392,118</w:t>
            </w:r>
          </w:p>
        </w:tc>
        <w:tc>
          <w:tcPr>
            <w:tcW w:w="0" w:type="dxa"/>
            <w:vAlign w:val="bottom"/>
          </w:tcPr>
          <w:p>
            <w:pPr>
              <w:spacing w:after="0"/>
              <w:rPr>
                <w:sz w:val="1"/>
                <w:szCs w:val="1"/>
                <w:color w:val="auto"/>
              </w:rPr>
            </w:pPr>
          </w:p>
        </w:tc>
      </w:tr>
      <w:tr>
        <w:trPr>
          <w:trHeight w:val="250"/>
        </w:trPr>
        <w:tc>
          <w:tcPr>
            <w:tcW w:w="77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deposits</w:t>
            </w:r>
          </w:p>
        </w:tc>
        <w:tc>
          <w:tcPr>
            <w:tcW w:w="38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9,833,870</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9,068,237</w:t>
            </w:r>
          </w:p>
        </w:tc>
        <w:tc>
          <w:tcPr>
            <w:tcW w:w="0" w:type="dxa"/>
            <w:vAlign w:val="bottom"/>
          </w:tcPr>
          <w:p>
            <w:pPr>
              <w:spacing w:after="0"/>
              <w:rPr>
                <w:sz w:val="1"/>
                <w:szCs w:val="1"/>
                <w:color w:val="auto"/>
              </w:rPr>
            </w:pPr>
          </w:p>
        </w:tc>
      </w:tr>
      <w:tr>
        <w:trPr>
          <w:trHeight w:val="257"/>
        </w:trPr>
        <w:tc>
          <w:tcPr>
            <w:tcW w:w="7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liabilities</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233,518</w:t>
            </w:r>
          </w:p>
        </w:tc>
        <w:tc>
          <w:tcPr>
            <w:tcW w:w="4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220,541</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liabilities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10,067,388</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9,288,778</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780" w:type="dxa"/>
            <w:vAlign w:val="bottom"/>
          </w:tcPr>
          <w:p>
            <w:pPr>
              <w:ind w:left="140"/>
              <w:spacing w:after="0" w:line="193" w:lineRule="exact"/>
              <w:rPr>
                <w:sz w:val="20"/>
                <w:szCs w:val="20"/>
                <w:color w:val="auto"/>
              </w:rPr>
            </w:pPr>
            <w:r>
              <w:rPr>
                <w:rFonts w:ascii="Times New Roman" w:cs="Times New Roman" w:eastAsia="Times New Roman" w:hAnsi="Times New Roman"/>
                <w:sz w:val="20"/>
                <w:szCs w:val="20"/>
                <w:color w:val="auto"/>
              </w:rPr>
              <w:t>Common stock, $0.01 par value; 180,000,000 shares authorized; 115,368,987 and 113,383,917</w:t>
            </w:r>
          </w:p>
        </w:tc>
        <w:tc>
          <w:tcPr>
            <w:tcW w:w="380" w:type="dxa"/>
            <w:vAlign w:val="bottom"/>
          </w:tcPr>
          <w:p>
            <w:pPr>
              <w:spacing w:after="0"/>
              <w:rPr>
                <w:sz w:val="16"/>
                <w:szCs w:val="16"/>
                <w:color w:val="auto"/>
              </w:rPr>
            </w:pPr>
          </w:p>
        </w:tc>
        <w:tc>
          <w:tcPr>
            <w:tcW w:w="13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1,154</w:t>
            </w:r>
          </w:p>
        </w:tc>
        <w:tc>
          <w:tcPr>
            <w:tcW w:w="4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1,134</w:t>
            </w:r>
          </w:p>
        </w:tc>
        <w:tc>
          <w:tcPr>
            <w:tcW w:w="0" w:type="dxa"/>
            <w:vAlign w:val="bottom"/>
          </w:tcPr>
          <w:p>
            <w:pPr>
              <w:spacing w:after="0"/>
              <w:rPr>
                <w:sz w:val="1"/>
                <w:szCs w:val="1"/>
                <w:color w:val="auto"/>
              </w:rPr>
            </w:pPr>
          </w:p>
        </w:tc>
      </w:tr>
      <w:tr>
        <w:trPr>
          <w:trHeight w:val="252"/>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shares issued and outstanding, respectively</w:t>
            </w: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1,719,233</w:t>
            </w:r>
          </w:p>
        </w:tc>
        <w:tc>
          <w:tcPr>
            <w:tcW w:w="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1,702,316</w:t>
            </w:r>
          </w:p>
        </w:tc>
        <w:tc>
          <w:tcPr>
            <w:tcW w:w="0" w:type="dxa"/>
            <w:vAlign w:val="bottom"/>
          </w:tcPr>
          <w:p>
            <w:pPr>
              <w:spacing w:after="0"/>
              <w:rPr>
                <w:sz w:val="1"/>
                <w:szCs w:val="1"/>
                <w:color w:val="auto"/>
              </w:rPr>
            </w:pPr>
          </w:p>
        </w:tc>
      </w:tr>
      <w:tr>
        <w:trPr>
          <w:trHeight w:val="257"/>
        </w:trPr>
        <w:tc>
          <w:tcPr>
            <w:tcW w:w="7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Accumulated deficit</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(201,799)</w:t>
            </w:r>
          </w:p>
        </w:tc>
        <w:tc>
          <w:tcPr>
            <w:tcW w:w="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(337,476)</w:t>
            </w:r>
          </w:p>
        </w:tc>
        <w:tc>
          <w:tcPr>
            <w:tcW w:w="0" w:type="dxa"/>
            <w:vAlign w:val="bottom"/>
          </w:tcPr>
          <w:p>
            <w:pPr>
              <w:spacing w:after="0"/>
              <w:rPr>
                <w:sz w:val="1"/>
                <w:szCs w:val="1"/>
                <w:color w:val="auto"/>
              </w:rPr>
            </w:pPr>
          </w:p>
        </w:tc>
      </w:tr>
      <w:tr>
        <w:trPr>
          <w:trHeight w:val="256"/>
        </w:trPr>
        <w:tc>
          <w:tcPr>
            <w:tcW w:w="7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(18,160)</w:t>
            </w:r>
          </w:p>
        </w:tc>
        <w:tc>
          <w:tcPr>
            <w:tcW w:w="4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(24,243)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equity</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1,500,428</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1,341,731</w:t>
            </w:r>
          </w:p>
        </w:tc>
        <w:tc>
          <w:tcPr>
            <w:tcW w:w="0" w:type="dxa"/>
            <w:vAlign w:val="bottom"/>
          </w:tcPr>
          <w:p>
            <w:pPr>
              <w:spacing w:after="0"/>
              <w:rPr>
                <w:sz w:val="1"/>
                <w:szCs w:val="1"/>
                <w:color w:val="auto"/>
              </w:rPr>
            </w:pPr>
          </w:p>
        </w:tc>
      </w:tr>
      <w:tr>
        <w:trPr>
          <w:trHeight w:val="275"/>
        </w:trPr>
        <w:tc>
          <w:tcPr>
            <w:tcW w:w="77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11,567,816</w:t>
            </w:r>
          </w:p>
        </w:tc>
        <w:tc>
          <w:tcPr>
            <w:tcW w:w="4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10,630,509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8" w:name="page89"/>
    <w:bookmarkEnd w:id="88"/>
    <w:p>
      <w:pPr>
        <w:ind w:left="4120"/>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Non-interest income:</w:t>
            </w:r>
          </w:p>
        </w:tc>
        <w:tc>
          <w:tcPr>
            <w:tcW w:w="1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Marketplace revenue</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355,944</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242,791</w:t>
            </w:r>
          </w:p>
        </w:tc>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291,484</w:t>
            </w:r>
          </w:p>
        </w:tc>
      </w:tr>
      <w:tr>
        <w:trPr>
          <w:trHeight w:val="256"/>
        </w:trPr>
        <w:tc>
          <w:tcPr>
            <w:tcW w:w="5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non-interest income</w:t>
            </w:r>
          </w:p>
        </w:tc>
        <w:tc>
          <w:tcPr>
            <w:tcW w:w="1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17,232</w:t>
            </w: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10,179</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11,297</w:t>
            </w:r>
          </w:p>
        </w:tc>
      </w:tr>
      <w:tr>
        <w:trPr>
          <w:trHeight w:val="25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Total non-interest income</w:t>
            </w:r>
          </w:p>
        </w:tc>
        <w:tc>
          <w:tcPr>
            <w:tcW w:w="1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373,176</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252,970</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302,781</w:t>
            </w:r>
          </w:p>
        </w:tc>
      </w:tr>
      <w:tr>
        <w:trPr>
          <w:trHeight w:val="75"/>
        </w:trPr>
        <w:tc>
          <w:tcPr>
            <w:tcW w:w="56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5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1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on loans held for sale</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142,937</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92,442</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35,655</w:t>
            </w:r>
          </w:p>
        </w:tc>
      </w:tr>
      <w:tr>
        <w:trPr>
          <w:trHeight w:val="257"/>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and fees on loans and leases held for investment</w:t>
            </w:r>
          </w:p>
        </w:tc>
        <w:tc>
          <w:tcPr>
            <w:tcW w:w="1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490,071</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494,214</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616,735</w:t>
            </w:r>
          </w:p>
        </w:tc>
      </w:tr>
      <w:tr>
        <w:trPr>
          <w:trHeight w:val="257"/>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on loans held for investment at fair value</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72,782</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77,034</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74,088</w:t>
            </w:r>
          </w:p>
        </w:tc>
      </w:tr>
      <w:tr>
        <w:trPr>
          <w:trHeight w:val="257"/>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on securities available for sale</w:t>
            </w:r>
          </w:p>
        </w:tc>
        <w:tc>
          <w:tcPr>
            <w:tcW w:w="1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223,820</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187,961</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40,235</w:t>
            </w:r>
          </w:p>
        </w:tc>
      </w:tr>
      <w:tr>
        <w:trPr>
          <w:trHeight w:val="256"/>
        </w:trPr>
        <w:tc>
          <w:tcPr>
            <w:tcW w:w="5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Other interest income</w:t>
            </w:r>
          </w:p>
        </w:tc>
        <w:tc>
          <w:tcPr>
            <w:tcW w:w="1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31,933</w:t>
            </w: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56,307</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65,917</w:t>
            </w:r>
          </w:p>
        </w:tc>
      </w:tr>
      <w:tr>
        <w:trPr>
          <w:trHeight w:val="25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Total interest income</w:t>
            </w:r>
          </w:p>
        </w:tc>
        <w:tc>
          <w:tcPr>
            <w:tcW w:w="1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961,543</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907,958</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832,630</w:t>
            </w:r>
          </w:p>
        </w:tc>
      </w:tr>
      <w:tr>
        <w:trPr>
          <w:trHeight w:val="75"/>
        </w:trPr>
        <w:tc>
          <w:tcPr>
            <w:tcW w:w="56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57"/>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Interest expense:</w:t>
            </w:r>
          </w:p>
        </w:tc>
        <w:tc>
          <w:tcPr>
            <w:tcW w:w="1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on deposits</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335,724</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369,219</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265,556</w:t>
            </w:r>
          </w:p>
        </w:tc>
      </w:tr>
      <w:tr>
        <w:trPr>
          <w:trHeight w:val="257"/>
        </w:trPr>
        <w:tc>
          <w:tcPr>
            <w:tcW w:w="5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Other interest expense</w:t>
            </w:r>
          </w:p>
        </w:tc>
        <w:tc>
          <w:tcPr>
            <w:tcW w:w="1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147</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4,698</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5,236</w:t>
            </w:r>
          </w:p>
        </w:tc>
      </w:tr>
      <w:tr>
        <w:trPr>
          <w:trHeight w:val="25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Total interest expense</w:t>
            </w:r>
          </w:p>
        </w:tc>
        <w:tc>
          <w:tcPr>
            <w:tcW w:w="1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335,871</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373,917</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270,792</w:t>
            </w:r>
          </w:p>
        </w:tc>
      </w:tr>
      <w:tr>
        <w:trPr>
          <w:trHeight w:val="74"/>
        </w:trPr>
        <w:tc>
          <w:tcPr>
            <w:tcW w:w="56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50"/>
        </w:trPr>
        <w:tc>
          <w:tcPr>
            <w:tcW w:w="56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0"/>
                <w:szCs w:val="20"/>
                <w:b w:val="1"/>
                <w:bCs w:val="1"/>
                <w:color w:val="auto"/>
              </w:rPr>
              <w:t>Net interest income</w:t>
            </w:r>
          </w:p>
        </w:tc>
        <w:tc>
          <w:tcPr>
            <w:tcW w:w="1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625,672</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534,041</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561,838</w:t>
            </w:r>
          </w:p>
        </w:tc>
      </w:tr>
      <w:tr>
        <w:trPr>
          <w:trHeight w:val="75"/>
        </w:trPr>
        <w:tc>
          <w:tcPr>
            <w:tcW w:w="56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50"/>
        </w:trPr>
        <w:tc>
          <w:tcPr>
            <w:tcW w:w="5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20"/>
                <w:szCs w:val="20"/>
                <w:b w:val="1"/>
                <w:bCs w:val="1"/>
                <w:color w:val="auto"/>
              </w:rPr>
              <w:t>Total net revenue</w:t>
            </w:r>
          </w:p>
        </w:tc>
        <w:tc>
          <w:tcPr>
            <w:tcW w:w="1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998,848</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787,011</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864,619</w:t>
            </w:r>
          </w:p>
        </w:tc>
      </w:tr>
      <w:tr>
        <w:trPr>
          <w:trHeight w:val="74"/>
        </w:trPr>
        <w:tc>
          <w:tcPr>
            <w:tcW w:w="56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50"/>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tc>
        <w:tc>
          <w:tcPr>
            <w:tcW w:w="1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191,320</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178,267</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243,565</w:t>
            </w:r>
          </w:p>
        </w:tc>
      </w:tr>
      <w:tr>
        <w:trPr>
          <w:trHeight w:val="75"/>
        </w:trPr>
        <w:tc>
          <w:tcPr>
            <w:tcW w:w="56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Non-interest expense:</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6"/>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241,846</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232,158</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261,948</w:t>
            </w:r>
          </w:p>
        </w:tc>
      </w:tr>
      <w:tr>
        <w:trPr>
          <w:trHeight w:val="257"/>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Marketing</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149,211</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100,402</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93,840</w:t>
            </w:r>
          </w:p>
        </w:tc>
      </w:tr>
      <w:tr>
        <w:trPr>
          <w:trHeight w:val="256"/>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Equipment and software</w:t>
            </w:r>
          </w:p>
        </w:tc>
        <w:tc>
          <w:tcPr>
            <w:tcW w:w="1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57,014</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51,194</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53,485</w:t>
            </w:r>
          </w:p>
        </w:tc>
      </w:tr>
      <w:tr>
        <w:trPr>
          <w:trHeight w:val="257"/>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62,889</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58,834</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47,195</w:t>
            </w:r>
          </w:p>
        </w:tc>
      </w:tr>
      <w:tr>
        <w:trPr>
          <w:trHeight w:val="256"/>
        </w:trPr>
        <w:tc>
          <w:tcPr>
            <w:tcW w:w="5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Professional services</w:t>
            </w:r>
          </w:p>
        </w:tc>
        <w:tc>
          <w:tcPr>
            <w:tcW w:w="1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42,339</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32,045</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35,173</w:t>
            </w:r>
          </w:p>
        </w:tc>
      </w:tr>
      <w:tr>
        <w:trPr>
          <w:trHeight w:val="257"/>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Occupancy</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19,834</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15,798</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17,532</w:t>
            </w:r>
          </w:p>
        </w:tc>
      </w:tr>
      <w:tr>
        <w:trPr>
          <w:trHeight w:val="257"/>
        </w:trPr>
        <w:tc>
          <w:tcPr>
            <w:tcW w:w="5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Other non-interest expense</w:t>
            </w:r>
          </w:p>
        </w:tc>
        <w:tc>
          <w:tcPr>
            <w:tcW w:w="1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57,449</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53,247</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57,264</w:t>
            </w:r>
          </w:p>
        </w:tc>
      </w:tr>
      <w:tr>
        <w:trPr>
          <w:trHeight w:val="25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Total non-interest expense</w:t>
            </w:r>
          </w:p>
        </w:tc>
        <w:tc>
          <w:tcPr>
            <w:tcW w:w="1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630,582</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543,678</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566,437</w:t>
            </w:r>
          </w:p>
        </w:tc>
      </w:tr>
      <w:tr>
        <w:trPr>
          <w:trHeight w:val="75"/>
        </w:trPr>
        <w:tc>
          <w:tcPr>
            <w:tcW w:w="56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5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Income before income tax expense</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176,946</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65,066</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54,617</w:t>
            </w:r>
          </w:p>
        </w:tc>
      </w:tr>
      <w:tr>
        <w:trPr>
          <w:trHeight w:val="25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Income tax expense</w:t>
            </w:r>
          </w:p>
        </w:tc>
        <w:tc>
          <w:tcPr>
            <w:tcW w:w="1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(41,269)</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(15,678)</w:t>
            </w:r>
          </w:p>
        </w:tc>
      </w:tr>
      <w:tr>
        <w:trPr>
          <w:trHeight w:val="275"/>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Earnings per share:</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Basic EPS</w:t>
            </w: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1.18</w:t>
            </w:r>
          </w:p>
        </w:tc>
        <w:tc>
          <w:tcPr>
            <w:tcW w:w="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0.46</w:t>
            </w:r>
          </w:p>
        </w:tc>
        <w:tc>
          <w:tcPr>
            <w:tcW w:w="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0.36</w:t>
            </w:r>
          </w:p>
        </w:tc>
      </w:tr>
      <w:tr>
        <w:trPr>
          <w:trHeight w:val="257"/>
        </w:trPr>
        <w:tc>
          <w:tcPr>
            <w:tcW w:w="5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Diluted EPS</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0.45</w:t>
            </w:r>
          </w:p>
        </w:tc>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0.36</w:t>
            </w:r>
          </w:p>
        </w:tc>
      </w:tr>
      <w:tr>
        <w:trPr>
          <w:trHeight w:val="25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common shares – Basic</w:t>
            </w: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114,605,220</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111,731,523</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108,466,179</w:t>
            </w:r>
          </w:p>
        </w:tc>
      </w:tr>
      <w:tr>
        <w:trPr>
          <w:trHeight w:val="25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Weighted-average common shares – Diluted</w:t>
            </w:r>
          </w:p>
        </w:tc>
        <w:tc>
          <w:tcPr>
            <w:tcW w:w="1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117,233,815</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113,122,859</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108,468,857</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7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17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88"/>
        </w:trPr>
        <w:tc>
          <w:tcPr>
            <w:tcW w:w="56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7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7"/>
        </w:trPr>
        <w:tc>
          <w:tcPr>
            <w:tcW w:w="5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unrealized gain on securities available for sale</w:t>
            </w:r>
          </w:p>
        </w:tc>
        <w:tc>
          <w:tcPr>
            <w:tcW w:w="17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10,187</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9,836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10,238</w:t>
            </w:r>
          </w:p>
        </w:tc>
      </w:tr>
      <w:tr>
        <w:trPr>
          <w:trHeight w:val="257"/>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Income tax effect</w:t>
            </w:r>
          </w:p>
        </w:tc>
        <w:tc>
          <w:tcPr>
            <w:tcW w:w="17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(4,104)</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(3,775)</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(2,926)</w:t>
            </w: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Other comprehensive income, net of tax</w:t>
            </w:r>
          </w:p>
        </w:tc>
        <w:tc>
          <w:tcPr>
            <w:tcW w:w="17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6,083</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6,061</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7,312</w:t>
            </w:r>
          </w:p>
        </w:tc>
      </w:tr>
      <w:tr>
        <w:trPr>
          <w:trHeight w:val="88"/>
        </w:trPr>
        <w:tc>
          <w:tcPr>
            <w:tcW w:w="5600" w:type="dxa"/>
            <w:vAlign w:val="bottom"/>
            <w:tcBorders>
              <w:bottom w:val="single" w:sz="8" w:color="auto"/>
            </w:tcBorders>
            <w:shd w:val="clear" w:color="auto" w:fill="CCEEFF"/>
          </w:tcPr>
          <w:p>
            <w:pPr>
              <w:spacing w:after="0"/>
              <w:rPr>
                <w:sz w:val="7"/>
                <w:szCs w:val="7"/>
                <w:color w:val="auto"/>
              </w:rPr>
            </w:pPr>
          </w:p>
        </w:tc>
        <w:tc>
          <w:tcPr>
            <w:tcW w:w="17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 comprehensive income</w:t>
            </w:r>
          </w:p>
        </w:tc>
        <w:tc>
          <w:tcPr>
            <w:tcW w:w="17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141,760</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57,391</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46,251</w:t>
            </w:r>
          </w:p>
        </w:tc>
      </w:tr>
      <w:tr>
        <w:trPr>
          <w:trHeight w:val="21"/>
        </w:trPr>
        <w:tc>
          <w:tcPr>
            <w:tcW w:w="5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00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10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restart"/>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60" w:type="dxa"/>
            <w:vAlign w:val="bottom"/>
            <w:gridSpan w:val="2"/>
            <w:vMerge w:val="restart"/>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9"/>
                <w:szCs w:val="9"/>
                <w:color w:val="auto"/>
              </w:rPr>
            </w:pPr>
          </w:p>
        </w:tc>
        <w:tc>
          <w:tcPr>
            <w:tcW w:w="1080" w:type="dxa"/>
            <w:vAlign w:val="bottom"/>
            <w:vMerge w:val="restart"/>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9"/>
                <w:szCs w:val="9"/>
                <w:color w:val="auto"/>
              </w:rPr>
            </w:pPr>
          </w:p>
        </w:tc>
        <w:tc>
          <w:tcPr>
            <w:tcW w:w="860" w:type="dxa"/>
            <w:vAlign w:val="bottom"/>
            <w:vMerge w:val="restart"/>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106,546,995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1,628,590</w:t>
            </w:r>
          </w:p>
        </w:tc>
        <w:tc>
          <w:tcPr>
            <w:tcW w:w="5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(427,745)</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1,164,294</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61,619</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61,619</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issuances under equity incentive plans</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3,863,607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(20,381)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(20,342)</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 on securities available for sale, net of tax</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7,312</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0" w:type="dxa"/>
            <w:vAlign w:val="bottom"/>
          </w:tcPr>
          <w:p>
            <w:pPr>
              <w:spacing w:after="0"/>
              <w:rPr>
                <w:sz w:val="1"/>
                <w:szCs w:val="1"/>
                <w:color w:val="auto"/>
              </w:rPr>
            </w:pPr>
          </w:p>
        </w:tc>
      </w:tr>
      <w:tr>
        <w:trPr>
          <w:trHeight w:val="20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38,939</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38,939</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110,410,602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1,104</w:t>
            </w: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1,669,828</w:t>
            </w:r>
          </w:p>
        </w:tc>
        <w:tc>
          <w:tcPr>
            <w:tcW w:w="5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(388,806)</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1,251,822</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47,117</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47,117</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issuances under equity incentive plans</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2,973,315</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(14,629)</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 on securities available for sale, net of tax</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6,061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51,330</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51,330</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113,383,917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1,702,316</w:t>
            </w:r>
          </w:p>
        </w:tc>
        <w:tc>
          <w:tcPr>
            <w:tcW w:w="5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(24,243)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(337,476)</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1,341,731</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39,079</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39,079</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issuances under equity incentive plans</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2,374,694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(15,034)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(15,010)</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(389,624)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(7,128)</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 on securities available for sale, net of tax</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6,083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135,677</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135,677</w:t>
            </w:r>
          </w:p>
        </w:tc>
        <w:tc>
          <w:tcPr>
            <w:tcW w:w="0" w:type="dxa"/>
            <w:vAlign w:val="bottom"/>
          </w:tcPr>
          <w:p>
            <w:pPr>
              <w:spacing w:after="0"/>
              <w:rPr>
                <w:sz w:val="1"/>
                <w:szCs w:val="1"/>
                <w:color w:val="auto"/>
              </w:rPr>
            </w:pPr>
          </w:p>
        </w:tc>
      </w:tr>
      <w:tr>
        <w:trPr>
          <w:trHeight w:val="221"/>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115,368,987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1,154</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1,719,233</w:t>
            </w:r>
          </w:p>
        </w:tc>
        <w:tc>
          <w:tcPr>
            <w:tcW w:w="5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(201,799)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1,500,428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6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38,939</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Adjustments to reconcile net income to net cash used for operating activities: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Net fair value adjustments</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134,946</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154,659</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134,114</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Change in fair value of loan servicing assets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59,457</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75,359</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62,581</w:t>
            </w:r>
          </w:p>
        </w:tc>
        <w:tc>
          <w:tcPr>
            <w:tcW w:w="0" w:type="dxa"/>
            <w:vAlign w:val="bottom"/>
          </w:tcPr>
          <w:p>
            <w:pPr>
              <w:spacing w:after="0"/>
              <w:rPr>
                <w:sz w:val="1"/>
                <w:szCs w:val="1"/>
                <w:color w:val="auto"/>
              </w:rPr>
            </w:pPr>
          </w:p>
        </w:tc>
      </w:tr>
      <w:tr>
        <w:trPr>
          <w:trHeight w:val="257"/>
        </w:trPr>
        <w:tc>
          <w:tcPr>
            <w:tcW w:w="66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Gain on sales of loans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(59,087)</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(49,097)</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(47,839)</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191,320</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178,267</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243,565</w:t>
            </w:r>
          </w:p>
        </w:tc>
        <w:tc>
          <w:tcPr>
            <w:tcW w:w="0" w:type="dxa"/>
            <w:vAlign w:val="bottom"/>
          </w:tcPr>
          <w:p>
            <w:pPr>
              <w:spacing w:after="0"/>
              <w:rPr>
                <w:sz w:val="1"/>
                <w:szCs w:val="1"/>
                <w:color w:val="auto"/>
              </w:rPr>
            </w:pPr>
          </w:p>
        </w:tc>
      </w:tr>
      <w:tr>
        <w:trPr>
          <w:trHeight w:val="256"/>
        </w:trPr>
        <w:tc>
          <w:tcPr>
            <w:tcW w:w="66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Accretion of deferred origination fees and marketing costs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(62,361)</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(68,535)</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(90,723)</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Stock-based compensation, net</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34,286</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40,069</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52,389</w:t>
            </w:r>
          </w:p>
        </w:tc>
        <w:tc>
          <w:tcPr>
            <w:tcW w:w="0" w:type="dxa"/>
            <w:vAlign w:val="bottom"/>
          </w:tcPr>
          <w:p>
            <w:pPr>
              <w:spacing w:after="0"/>
              <w:rPr>
                <w:sz w:val="1"/>
                <w:szCs w:val="1"/>
                <w:color w:val="auto"/>
              </w:rPr>
            </w:pPr>
          </w:p>
        </w:tc>
      </w:tr>
      <w:tr>
        <w:trPr>
          <w:trHeight w:val="257"/>
        </w:trPr>
        <w:tc>
          <w:tcPr>
            <w:tcW w:w="66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62,889</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58,834</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47,195</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Other, net</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9,995</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10,754</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(8,932)</w:t>
            </w:r>
          </w:p>
        </w:tc>
        <w:tc>
          <w:tcPr>
            <w:tcW w:w="0" w:type="dxa"/>
            <w:vAlign w:val="bottom"/>
          </w:tcPr>
          <w:p>
            <w:pPr>
              <w:spacing w:after="0"/>
              <w:rPr>
                <w:sz w:val="1"/>
                <w:szCs w:val="1"/>
                <w:color w:val="auto"/>
              </w:rPr>
            </w:pPr>
          </w:p>
        </w:tc>
      </w:tr>
      <w:tr>
        <w:trPr>
          <w:trHeight w:val="256"/>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change to loans held for sale</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(3,267,348)</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(3,101,778)</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(1,535,037)</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change in operating assets and liabilities: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Other assets</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33,593</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22,422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54,894</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Other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(6,458)</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(87,746)</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Net cash used for operating activities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(2,726,940)</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(2,634,174)</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(1,136,600)</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change in loans and leases</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320,535</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(223,857)</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544,821</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Purchases of securities available for sale</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(30,452)</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(49,786)</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(61,648)</w:t>
            </w:r>
          </w:p>
        </w:tc>
        <w:tc>
          <w:tcPr>
            <w:tcW w:w="0" w:type="dxa"/>
            <w:vAlign w:val="bottom"/>
          </w:tcPr>
          <w:p>
            <w:pPr>
              <w:spacing w:after="0"/>
              <w:rPr>
                <w:sz w:val="1"/>
                <w:szCs w:val="1"/>
                <w:color w:val="auto"/>
              </w:rPr>
            </w:pPr>
          </w:p>
        </w:tc>
      </w:tr>
      <w:tr>
        <w:trPr>
          <w:trHeight w:val="256"/>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sales, maturities and paydowns of securities available for sale</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1,786,765</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938,409</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97,709</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Purchases of property, equipment and software, net</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(140,341)</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(54,302)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(59,509)</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investing activities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(4,348)</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(4,676)</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1,932,159</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607,813</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516,697</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change in deposits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769,915</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1,742,479</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921,393</w:t>
            </w:r>
          </w:p>
        </w:tc>
        <w:tc>
          <w:tcPr>
            <w:tcW w:w="0" w:type="dxa"/>
            <w:vAlign w:val="bottom"/>
          </w:tcPr>
          <w:p>
            <w:pPr>
              <w:spacing w:after="0"/>
              <w:rPr>
                <w:sz w:val="1"/>
                <w:szCs w:val="1"/>
                <w:color w:val="auto"/>
              </w:rPr>
            </w:pPr>
          </w:p>
        </w:tc>
      </w:tr>
      <w:tr>
        <w:trPr>
          <w:trHeight w:val="256"/>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Principal payments on borrowings</w:t>
            </w:r>
          </w:p>
        </w:tc>
        <w:tc>
          <w:tcPr>
            <w:tcW w:w="36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(111,993)</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Other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(22,093)</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(13,668)</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(19,833)</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747,822</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1,709,609</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789,567</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(decrease) increase in cash, cash equivalents and restricted cash</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(46,959)</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(316,752)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169,664</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beginning of period</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977,396</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1,294,148</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1,124,484</w:t>
            </w:r>
          </w:p>
        </w:tc>
        <w:tc>
          <w:tcPr>
            <w:tcW w:w="0" w:type="dxa"/>
            <w:vAlign w:val="bottom"/>
          </w:tcPr>
          <w:p>
            <w:pPr>
              <w:spacing w:after="0"/>
              <w:rPr>
                <w:sz w:val="1"/>
                <w:szCs w:val="1"/>
                <w:color w:val="auto"/>
              </w:rPr>
            </w:pPr>
          </w:p>
        </w:tc>
      </w:tr>
      <w:tr>
        <w:trPr>
          <w:trHeight w:val="275"/>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930,437</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977,396</w:t>
            </w:r>
          </w:p>
        </w:tc>
        <w:tc>
          <w:tcPr>
            <w:tcW w:w="3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1,294,148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Cash paid for interest</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341,390</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378,276</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258,626</w:t>
            </w:r>
          </w:p>
        </w:tc>
        <w:tc>
          <w:tcPr>
            <w:tcW w:w="0" w:type="dxa"/>
            <w:vAlign w:val="bottom"/>
          </w:tcPr>
          <w:p>
            <w:pPr>
              <w:spacing w:after="0"/>
              <w:rPr>
                <w:sz w:val="1"/>
                <w:szCs w:val="1"/>
                <w:color w:val="auto"/>
              </w:rPr>
            </w:pPr>
          </w:p>
        </w:tc>
      </w:tr>
      <w:tr>
        <w:trPr>
          <w:trHeight w:val="256"/>
        </w:trPr>
        <w:tc>
          <w:tcPr>
            <w:tcW w:w="66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3,377</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275</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6,631</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Cash paid for operating leases included in the measurement of lease liabilities</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13,688</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12,869</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12,797</w:t>
            </w:r>
          </w:p>
        </w:tc>
        <w:tc>
          <w:tcPr>
            <w:tcW w:w="0" w:type="dxa"/>
            <w:vAlign w:val="bottom"/>
          </w:tcPr>
          <w:p>
            <w:pPr>
              <w:spacing w:after="0"/>
              <w:rPr>
                <w:sz w:val="1"/>
                <w:szCs w:val="1"/>
                <w:color w:val="auto"/>
              </w:rPr>
            </w:pPr>
          </w:p>
        </w:tc>
      </w:tr>
      <w:tr>
        <w:trPr>
          <w:trHeight w:val="257"/>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non-cash investing activity:</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Net securities retained from Structured Program transactions</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1,993,586</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2,711,693</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1,299,313</w:t>
            </w:r>
          </w:p>
        </w:tc>
        <w:tc>
          <w:tcPr>
            <w:tcW w:w="0" w:type="dxa"/>
            <w:vAlign w:val="bottom"/>
          </w:tcPr>
          <w:p>
            <w:pPr>
              <w:spacing w:after="0"/>
              <w:rPr>
                <w:sz w:val="1"/>
                <w:szCs w:val="1"/>
                <w:color w:val="auto"/>
              </w:rPr>
            </w:pPr>
          </w:p>
        </w:tc>
      </w:tr>
      <w:tr>
        <w:trPr>
          <w:trHeight w:val="256"/>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non-cash financing activity:</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80"/>
              <w:spacing w:after="0" w:line="189" w:lineRule="exact"/>
              <w:rPr>
                <w:sz w:val="20"/>
                <w:szCs w:val="20"/>
                <w:color w:val="auto"/>
              </w:rPr>
            </w:pPr>
            <w:r>
              <w:rPr>
                <w:rFonts w:ascii="Times New Roman" w:cs="Times New Roman" w:eastAsia="Times New Roman" w:hAnsi="Times New Roman"/>
                <w:sz w:val="20"/>
                <w:szCs w:val="20"/>
                <w:color w:val="auto"/>
                <w:w w:val="99"/>
              </w:rPr>
              <w:t>Derecognition of payable to securitization note and residual certificate holders</w:t>
            </w:r>
          </w:p>
        </w:tc>
        <w:tc>
          <w:tcPr>
            <w:tcW w:w="36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880</w:t>
            </w:r>
          </w:p>
        </w:tc>
        <w:tc>
          <w:tcPr>
            <w:tcW w:w="3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20"/>
                <w:szCs w:val="20"/>
                <w:color w:val="auto"/>
              </w:rPr>
              <w:t>held in consolidated VIE</w:t>
            </w: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presents cash, cash equivalents and restricted cash by category within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5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917,654</w:t>
            </w:r>
          </w:p>
        </w:tc>
        <w:tc>
          <w:tcPr>
            <w:tcW w:w="6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954,058</w:t>
            </w:r>
          </w:p>
        </w:tc>
      </w:tr>
      <w:tr>
        <w:trPr>
          <w:trHeight w:val="257"/>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Restricted cash</w:t>
            </w:r>
          </w:p>
        </w:tc>
        <w:tc>
          <w:tcPr>
            <w:tcW w:w="2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12,783</w:t>
            </w: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23,338</w:t>
            </w:r>
          </w:p>
        </w:tc>
      </w:tr>
      <w:tr>
        <w:trPr>
          <w:trHeight w:val="275"/>
        </w:trPr>
        <w:tc>
          <w:tcPr>
            <w:tcW w:w="5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240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930,437</w:t>
            </w:r>
          </w:p>
        </w:tc>
        <w:tc>
          <w:tcPr>
            <w:tcW w:w="6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977,396</w:t>
            </w: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Notes to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280" w:firstLine="8"/>
        <w:spacing w:after="0" w:line="502" w:lineRule="auto"/>
        <w:tabs>
          <w:tab w:leader="none" w:pos="198"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u w:val="single" w:color="auto"/>
          <w:color w:val="auto"/>
        </w:rPr>
        <w:t>Basis of Presentation</w:t>
      </w:r>
    </w:p>
    <w:p>
      <w:pPr>
        <w:ind w:right="340"/>
        <w:spacing w:after="0" w:line="258" w:lineRule="auto"/>
        <w:rPr>
          <w:sz w:val="20"/>
          <w:szCs w:val="20"/>
          <w:color w:val="auto"/>
        </w:rPr>
      </w:pPr>
      <w:r>
        <w:rPr>
          <w:rFonts w:ascii="Times New Roman" w:cs="Times New Roman" w:eastAsia="Times New Roman" w:hAnsi="Times New Roman"/>
          <w:sz w:val="20"/>
          <w:szCs w:val="20"/>
          <w:color w:val="auto"/>
        </w:rPr>
        <w:t>LendingClub Corporation (LendingClub) was founded in 2006 and operates a leading nationally chartered digital marketplace bank that leverages data and technology to increase access to credit, reduce borrowing costs, and improve returns on savings for its members. LendingClub is registered as a bank holding company and operates the vast majority of its business through its wholly-owned subsidiary, LendingClub Bank, National Association (LC Bank).</w:t>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All intercompany balances and transactions have been eliminated in consolidation. These consolidated financial statements have been prepared in conformity with accounting principles generally accepted in the United States of America (GAAP) and, in the opinion of management, contain all adjustments, including normal recurring adjustments, necessary for the fair statement of the results and financial position for the periods presented. These accounting principles require management to make certain estimates and assumptions that affect the amounts in the accompanying financial statements. These estimates and assumptions are inherently subjective in nature and actual results may differ from these estimates and assumptions, and the differences could be 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4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Cash and cash equivalents have original maturities of three months or less and include cash on hand, cash items in transit, and amounts due from or held with other depository institutions, primarily with the Board of Governors of the Federal Reserve System (FRB).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47" w:lineRule="exact"/>
        <w:rPr>
          <w:sz w:val="20"/>
          <w:szCs w:val="20"/>
          <w:color w:val="auto"/>
        </w:rPr>
      </w:pPr>
    </w:p>
    <w:p>
      <w:pPr>
        <w:ind w:right="800"/>
        <w:spacing w:after="0" w:line="310" w:lineRule="auto"/>
        <w:rPr>
          <w:sz w:val="20"/>
          <w:szCs w:val="20"/>
          <w:color w:val="auto"/>
        </w:rPr>
      </w:pPr>
      <w:r>
        <w:rPr>
          <w:rFonts w:ascii="Times New Roman" w:cs="Times New Roman" w:eastAsia="Times New Roman" w:hAnsi="Times New Roman"/>
          <w:sz w:val="19"/>
          <w:szCs w:val="19"/>
          <w:color w:val="auto"/>
        </w:rPr>
        <w:t>Restricted cash consists of cash items held with other depository institutions in which the ability to withdraw funds is restricted by contractual provisions. Such amounts primarily include cash collected from borrowers on loans and not yet distributed to investors.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w:t>
      </w:r>
    </w:p>
    <w:p>
      <w:pPr>
        <w:spacing w:after="0" w:line="2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auto"/>
        </w:rPr>
        <w:t>Debt securities purchased and asset-backed securities retained from the sale of loans are classified as available for sale (AFS) securities. AFS securities represent investment securities with readily determinable fair values that the Company: (i) does not hold for trading purposes and</w:t>
      </w:r>
    </w:p>
    <w:p>
      <w:pPr>
        <w:spacing w:after="0" w:line="2" w:lineRule="exact"/>
        <w:rPr>
          <w:sz w:val="20"/>
          <w:szCs w:val="20"/>
          <w:color w:val="auto"/>
        </w:rPr>
      </w:pPr>
    </w:p>
    <w:p>
      <w:pPr>
        <w:ind w:right="260" w:firstLine="8"/>
        <w:spacing w:after="0" w:line="253" w:lineRule="auto"/>
        <w:tabs>
          <w:tab w:leader="none" w:pos="29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have the positive intent and ability to hold to maturity. AFS securities are measured at fair value, with unrealized gains and losses reported in “Accumulated other comprehensive income (loss)” within the equity section of the Balance Sheet, net of any applicable income taxes.</w:t>
      </w:r>
    </w:p>
    <w:p>
      <w:pPr>
        <w:spacing w:after="0" w:line="21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Management evaluates whether debt AFS securities with unrealized losses are impaired on a quarterly basis. For any security that has declined in fair value below its amortized cost basis, the Company recognizes an impairment loss in current period earnings if management has the intent to sell the security or if it is more likely than not it will be required to sell the security before recovery of its amortized cost basis. The assessment of impairment also considers whether the decline in fair value below the security’s amortized cost basis is attributable to credit-related factors. If credit-related factors exist, credit-related impairment has occurred regardless of the Company’s intent to hold the security until it recovers. The credit-related portion of impairment is recognized as provision for credit loss expense in earnings with a corresponding valuation allowance for AFS securities on the Balance Sheet, to the extent the allowance does not reduce the value of the security below its fair value.</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Equity securities that do not have readily determinable fair values are generally recorded at cost adjusted for impairment, if any. These securities include FRB stock and Federal Home Loan Bank (FHLB) stock and are reported as “Nonmarketable equity investments” in “Other assets” on the Balance Sheet.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and Leases</w:t>
      </w:r>
    </w:p>
    <w:p>
      <w:pPr>
        <w:spacing w:after="0" w:line="24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The Company initially classifies loans and leases as either held for sale (HFS) or held for investment (HFI) based on management’s assessment of its intent and ability to hold the loans and leases for the foreseeable future or until maturity. Management’s intent and ability with respect to certain loans and leases may change from time to time and, therefore, loans and leases that are initially designated as HFS or HFI may be reclassified. In order to reclassify loans to HFS, management must have the intent to sell the loans and the ability to reasonably identify the specific loans to be sold.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Held for Sale at Fair Value</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Loans initially classified as HFS are reported at their fair value with the Company’s election of the fair value option. Origination fees and marketing costs for HFS loans are recognized in earnings at the time of loan origination and are not deferred. Revenue from HFS loans at fair value also includes gain on sales of loans (recognition of servicing asset), servicing fees received over the life of the sold loan, and net fair value adjustments, all of which are presented within “Marketplace revenue” on the Income Statement. The Company also earns interest income on HFS loans from the time of origination until the loans have been sold. As loans are held on the Balance Sheet, incremental fair value adjustments on the loans are recorded in “Net fair value adjustments” within “Marketplace revenue,” whereas the associated interest income, based on the loans’ contractual interest rate, is recorded within “Interest on loans held for 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and Leases Held for Investment at Amortized Cost</w:t>
      </w:r>
    </w:p>
    <w:p>
      <w:pPr>
        <w:spacing w:after="0" w:line="26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HFI loans accounted for at amortized cost are measured at historical cost and reported at their outstanding principal balances net of any charge-offs, unamortized deferred origination fees and marketing costs. Revenue from HFI loans at amortized cost consists of interest income, which includes the stated interest rate on the loans and the amortization of origination fees and marketing costs that are deferred at origination.</w:t>
      </w:r>
    </w:p>
    <w:p>
      <w:pPr>
        <w:spacing w:after="0" w:line="214"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20"/>
          <w:szCs w:val="20"/>
          <w:color w:val="auto"/>
        </w:rPr>
        <w:t>Leases are recorded at the discounted amounts of lease payments receivable plus the estimated residual value of the leased asset, net of unearned income and unamortized deferred origination fees and marketing costs. Lease payments receivable reflect contractual lease payments adjusted for renewal or termination options that the Company believes the customer is reasonably certain to exercise.</w:t>
      </w:r>
    </w:p>
    <w:p>
      <w:pPr>
        <w:spacing w:after="0" w:line="20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In certain circumstances, the Company may reclassify loans and/or leases from HFI to HFS, at which time these are valued at the lower of amortized cost or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Held for Investment at Fair Value</w:t>
      </w:r>
    </w:p>
    <w:p>
      <w:pPr>
        <w:spacing w:after="0" w:line="26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9"/>
          <w:szCs w:val="19"/>
          <w:color w:val="auto"/>
        </w:rPr>
        <w:t>As of the periods presented in this Annual Report, HFI loans at fair value consisted of certain non-routine loan portfolio purchases accounted under the fair value option on a transaction-specific basis, due to the short remaining duration of the acquired portfolios. Revenue from these loan portfolio purchases includes interest income and net fair value adjustments which are recorded in current period earnings.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Election of Fair Value Option</w:t>
      </w:r>
    </w:p>
    <w:p>
      <w:pPr>
        <w:spacing w:after="0" w:line="26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Effective January 1, 2026, the Company elected the fair value option to account for HFI loans that were originated on or after that date. Prior to this election, loans that were originated as HFI were, and the Company expects will continue to be, accounted for at amortized cost, which required the initial recognition of an allowance for lifetime expected credit losses under the CECL methodology, recognized within “Provision for credit losses” on the Income Statement. The Company believes that applying the fair value option, rather than the CECL methodology, to HFI loans more accurately reflects the in-period economic performance of the loans by better aligning the value of the loan to its then fair value. Under the fair value option, origination fee revenue and marketing costs are recognized at the time of loan origination within “Origination fees” and “Marketing expense,” respectively, on the Income Statement, rather than being deferred. Changes in the fair value of loans are recognized in current period earnings within “Net fair value adjustments” on the Income Statement. Further, by applying the fair value option to HFI loans, the Company is applying the same accounting methodology to all loans it originates after January 1, 2026, as both HFI and HFS loans will be measured at fair value.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Interest Income and Non-Accrual Policy</w:t>
      </w:r>
    </w:p>
    <w:p>
      <w:pPr>
        <w:spacing w:after="0" w:line="24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Interest income is accrued as earned. The accrual of interest income is discontinued, and the loan or lease is placed on nonaccrual status at 90 days past due or when reasonable doubt exists as to timely collection. Past due status is based on the contractual terms of the loan or lease. When a loan or lease is placed on nonaccrual status, all income previously accrued but not collected is reversed against the current period’s interest income. The Company has a nonaccrual policy which results in the timely reversal of past-due accrued interest and, therefore, does not record an allowance for credit losses (ACL) on accrued interest receivable. The Company records an ACL on accrued interest receivable for past due unsecured personal loans that are less than 90 days past due. Interest collections on nonaccrual loans and leases for which the ultimate collectability of principal is uncertain are applied as principal reductions; otherwise, such collections are credited to income when received. Nonaccrual loans and leases are returned to accrual status when there no longer exists concern over collectability, the borrower has demonstrated, over time, both the intent and ability to repay and the loan or lease has been brought current and future payments are reasonably assured.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ACL represents management’s estimate of expected credit losses. The ACL primarily consists of the allowance for loan and lease losses (ALLL), as well as the allowance for AFS securities and unfunded lending commitments. The ACL is measured based on a lifetime expected loss model, which does not require a loss event to occur before a credit loss is recognized. Under the lifetime expected credit loss model, the Company estimates the allowance based on relevant available information related to past events, current conditions, and reasonable and supportable forecasts of future economic conditions. The ACL is estimated using a discounted cash flow (DCF) approach where effective interest rates are used to calculate the net present value of expected cash flows. The effective interest rate is calculated based on the periodic interest income received from the loan’s contractual cash flows and the net investment in the loan, which includes deferred origination fees and marketing costs, to provide a constant rate of return over the contractual loan term. The Company evaluates its estimate of expected credit losses each reporting period and records any additions or reductions to the ACL on the Income Statement as “Provision for credit losses.”</w:t>
      </w:r>
    </w:p>
    <w:p>
      <w:pPr>
        <w:spacing w:after="0" w:line="22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Amounts determined to be uncollectible are charged-off to the allowance. Estimates of expected credit losses include expected recoveries of amounts previously charged-off and amounts expected to be charged-off. If amounts previously charged off are subsequently expected to be collected, the Company may recognize a negative allowance, which is limited to the amount that was previously charged off.</w:t>
      </w:r>
    </w:p>
    <w:p>
      <w:pPr>
        <w:spacing w:after="0" w:line="19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Under applicable accounting guidance, for reporting purposes, the loan and lease portfolio is categorized by portfolio segment. A portfolio segment is defined as the level at which an entity develops and documents a</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systematic methodology to determine the ACL. The Company’s two portfolio segments are consumer and commercial. The Company further disaggregates its portfolio segments into various classes of financing receivables based on their underlying risk characteristics. The classes within the consumer portfolio segment are unsecured consumer, secured consumer and residential mortgages. The classes within the commercial portfolio segment are commercial and industrial, commercial real estate, and equipment finance.</w:t>
      </w:r>
    </w:p>
    <w:p>
      <w:pPr>
        <w:spacing w:after="0" w:line="1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ACL is measured on a collective basis when loans share similar risk characteristics. Relevant risk characteristics for the consumer portfolio include product type, risk rating, loan term, and monthly vintage. Relevant risk characteristics for the commercial portfolio include product type and risk rating. Loans measured on a collective basis generally have an ACL comprised of a quantitative, or modeled, component that is supplemented by a framework of qualitative factors, as discussed below.</w:t>
      </w:r>
    </w:p>
    <w:p>
      <w:pPr>
        <w:spacing w:after="0" w:line="21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auto"/>
        </w:rPr>
        <w:t>The Company will continue to monitor its loan pools on an ongoing basis and adjust accordingly as the risk characteristics of the financial assets may change over time. If a given financial asset does not share similar risk characteristics with other financial assets, the Company shall measure expected credit losses on an individual, rather than on a collective basis. Loans evaluated on an individual basis generally have an ACL that is measured in reference to any collateral securing the loan and/or expected cash flows which are specific to the borrower.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Calculation Methodology</w:t>
      </w:r>
    </w:p>
    <w:p>
      <w:pPr>
        <w:spacing w:after="0" w:line="2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generally estimates expected credit losses over the contractual term of its loans and certain securities. The contractual term is adjusted for estimated prepayments when appropriate. The quantitative, or modeled, component of the ACL is primarily based on statistical models that use known or estimated data as of the balance sheet date and forecasted data over the reasonable and supportable period. Known and estimated data include current probability and timing of default, loss rate and recovery exposure at default, timing and amount of estimated prepayments, timing and amount of expected draws (for unfunded lending commitments), and relevant risk characteristics. Certain of the Company’s commercial portfolios have limited internal historical loss data and use external credit loss information, including historical charge-off and balance data for peer banking institutions.</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obtains historical and forecast macroeconomic information to inform its view of the long-term condition of the economy. Forward-looking macroeconomic factors considered in the Company’s consumer model include unemployment rate, unemployment insurance claims, gross domestic product (GDP), housing prices, and retail sales. Forward-looking macroeconomic factors are incorporated into the Company’s commercial model for a two-year reasonable and supportable economic forecast period followed by a one-year reversion period during which expected credit losses are expected to revert back on a straight-line basis to historical losses unadjusted for economic conditions. The reasonable and supportable economic forecast period and reversion methodology are accounting estimates which may change in future periods as a result of changes to the current macroeconomic environment.</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quantitative, or modeled, portion of ACL is estimated using a DCF approach. The Company’s statistical models, applied at the portfolio level to pools of loans with similar risk characteristics, produce expected cash flows, which are then discounted at the effective interest rate to derive net present value. The effective interest rate is calculated based on the periodic interest income received from the loan’s contractual cash flows and the net investment in the loan, which includes deferred origination fees and marketing costs, to provide a constant rate of return over the contractual loan term. This net present value is then compared to the amortized cost basis to derive the initial expected credit losses. Under the DCF approach, the provision for credit losses includes credit loss expense in subsequent periods relating to the discounting effect due to the passage of time after the initial recognition of ACL.</w:t>
      </w:r>
    </w:p>
    <w:p>
      <w:pPr>
        <w:spacing w:after="0" w:line="206"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Company also considers the need for qualitative adjustments to the modeled estimate of expected credit losses. For this purpose, the Company established a qualitative factor framework to periodically assess qualitative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adjustments to address certain identified elements that are not directly captured by the statistically modeled expected credit loss. The Company also obtains forecast macroeconomic information to inform its view of the long-term condition of the economy. These factors may include the impact of the non-modeled macroeconomic outlook, forecast unemployment rate and insurance claims, risk rating downgrades, changes in credit policies, problem loan trends, identification of new risks not incorporated into the modeling framework, credit concentrations, changes in underwriting and other external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Zero Credit Loss Expectation Exception</w:t>
      </w:r>
    </w:p>
    <w:p>
      <w:pPr>
        <w:spacing w:after="0" w:line="2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The Company has a zero loss expectation when the loans and AFS securities, or portions thereof, are issued or guaranteed by certain U.S. government entities or agencies, as those entities or agencies have a long history of no defaults and the highest credit ratings issued by rating agencies. Loans held for investment and AFS securities which meet this criterion do not have an ACL.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Reserve for Unfunded Lending Commitments</w:t>
      </w:r>
    </w:p>
    <w:p>
      <w:pPr>
        <w:spacing w:after="0" w:line="2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ACL includes an estimate for expected credit losses on off-balance sheet commitments to extend credit and unused lines of credit. The Company estimates these expected credit losses for the unfunded portion of the commitments that are not unconditionally cancellable depending on the likelihood that funding will occur. The reserve for unfunded lending commitments is reported in “Other liabilities” on the Balance Sheet.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Individually Assessed Loans</w:t>
      </w:r>
    </w:p>
    <w:p>
      <w:pPr>
        <w:spacing w:after="0" w:line="26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Loans that do not share similar risk characteristics with other financial assets, including collateral-dependent loans, are individually assessed for purposes of measuring expected credit losses using the DCF approach.</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For loans that are determined to be collateral dependent, the ACL is determined based on the fair value of the collateral. Loans are considered collateral dependent when the borrower is experiencing financial difficulty and repayment of the loan is expected to be substantially satisfied through sale or operation of the collateral. For such loans, the ACL is calculated as the difference between the amortized cost basis and the fair value of the underlying collateral less costs to sell, if applicable.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Charge-Offs</w:t>
      </w:r>
    </w:p>
    <w:p>
      <w:pPr>
        <w:spacing w:after="0" w:line="2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Charge-offs are recorded when the Company determines that a loan balance is uncollectible or a loss-confirming event has occurred. Loss confirming events usually involve the receipt of specific adverse information about the borrower and may include borrower delinquency status, bankruptcy, foreclosure, or receipt of an asset valuation indicating a shortfall between the value of the collateral and the book value of the loan when that collateral asset is the sole source of repayment. A full or partial charge-off reduces the amortized cost basis of the loan and the related ACL. Unsecured personal loans are generally charged-off when a borrower is contractually 120 days past due. Exceptions include accounts in bankruptcy or accounts of deceased borrowers which are then generally charged-off within 60 or 30 days from receipt of notification,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Servicing Assets</w:t>
      </w:r>
    </w:p>
    <w:p>
      <w:pPr>
        <w:spacing w:after="0" w:line="26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Servicing assets are capitalized as separate assets when loans are sold and servicing is retained. The Company records servicing assets at their estimated fair values. Servicing asset fair value is based on the excess of the contractual servicing fee over an estimated market servicing rate. When servicing assets are recognized from the sale of loans originated by the Company, the fair value of the servicing asset is included as a component of the gain or loss on the loan sale and reported within “Marketplace revenue” on the Income Statement. Subsequent changes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fair value are reported within “Servicing fees” in “Marketplace revenue” during the period in which the changes occur. Servicing assets are reported in “Other assets” on the Balance Sheet.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 financial asset or paid to transfer a financial liability in an orderly transaction between market participants at the measurement date. Fair value is based on an exit price notion that maximizes the use of observable inputs and minimizes the use of unobservable inputs. Certain of the Company’s assets and liabilities are recorded at fair value and measured on either a recurring or nonrecurring basis. Assets and liabilities that are recorded at fair value on a recurring basis require a fair value measurement at each reporting period.</w:t>
      </w:r>
    </w:p>
    <w:p>
      <w:pPr>
        <w:spacing w:after="0" w:line="21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fair value hierarchy includes a three-level hierarchy that assigns the highest priority to unadjusted quoted prices in active markets and the lowest priority to unobservable inputs.</w:t>
      </w:r>
    </w:p>
    <w:p>
      <w:pPr>
        <w:spacing w:after="0" w:line="92"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Level 1</w:t>
      </w:r>
      <w:r>
        <w:rPr>
          <w:sz w:val="20"/>
          <w:szCs w:val="20"/>
          <w:color w:val="auto"/>
        </w:rPr>
        <w:tab/>
      </w:r>
      <w:r>
        <w:rPr>
          <w:rFonts w:ascii="Times New Roman" w:cs="Times New Roman" w:eastAsia="Times New Roman" w:hAnsi="Times New Roman"/>
          <w:sz w:val="19"/>
          <w:szCs w:val="19"/>
          <w:color w:val="auto"/>
        </w:rPr>
        <w:t>—  Quoted market prices in active markets for identical assets or liabilities.</w:t>
      </w:r>
    </w:p>
    <w:p>
      <w:pPr>
        <w:spacing w:after="0" w:line="8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Level 2</w:t>
      </w:r>
      <w:r>
        <w:rPr>
          <w:sz w:val="20"/>
          <w:szCs w:val="20"/>
          <w:color w:val="auto"/>
        </w:rPr>
        <w:tab/>
      </w:r>
      <w:r>
        <w:rPr>
          <w:rFonts w:ascii="Times New Roman" w:cs="Times New Roman" w:eastAsia="Times New Roman" w:hAnsi="Times New Roman"/>
          <w:sz w:val="19"/>
          <w:szCs w:val="19"/>
          <w:color w:val="auto"/>
        </w:rPr>
        <w:t>—  Inputs other than quoted prices included in Level 1 that are observable for the asset or liability either directly or indirectly.</w:t>
      </w:r>
    </w:p>
    <w:p>
      <w:pPr>
        <w:spacing w:after="0" w:line="8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color w:val="auto"/>
        </w:rPr>
        <w:t>Level 3</w:t>
        <w:tab/>
        <w:t>—  Unobservable inputs.</w:t>
      </w:r>
    </w:p>
    <w:p>
      <w:pPr>
        <w:spacing w:after="0" w:line="33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Unobservable inputs require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 and Hedging Activities</w:t>
      </w:r>
    </w:p>
    <w:p>
      <w:pPr>
        <w:spacing w:after="0" w:line="2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Company reports the fair value of its derivative instruments on a gross basis, as either “Other assets” or “Other liabilities” on the Balance Sheet. Changes in fair value of the derivative instruments are recognized in “Net fair value adjustments” within “Marketplace revenue” on the Income Statement.</w:t>
      </w:r>
    </w:p>
    <w:p>
      <w:pPr>
        <w:spacing w:after="0" w:line="1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For derivative instruments that qualify as accounting hedges, the Company designates the hedging instrument based on the exposure being hedged. The Company’s existing hedging instruments are designated as fair value hedges under the portfolio layer method, whereby changes in the fair value of the hedging instrument are substantially offset by changes in the fair value of the hedged item, which are recognized within interest income on the Income Statement. Interest payments made and/or received related to these derivative instruments are presented within the “Operating activities” section on the Statements of Cash Flows.</w:t>
      </w:r>
    </w:p>
    <w:p>
      <w:pPr>
        <w:spacing w:after="0" w:line="20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To qualify for hedge accounting, the derivatives and related hedged items must be designated as a hedge at inception of the hedge relationship. In addition, a derivative must be highly effective at reducing the risk associated with the exposure being hedged. For accounting hedge relationships, the Company formally assesses, both at the inception of the hedge and on an ongoing basis, if the derivatives are highly effective in offsetting designated changes in the fair value of the hedged item. The Company assesses effectiveness using a statistical regression analysis. Effectiveness may be assessed qualitatively where the critical terms of the derivative and hedged item match.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Equipment and Software, Net</w:t>
      </w:r>
    </w:p>
    <w:p>
      <w:pPr>
        <w:spacing w:after="0" w:line="260"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Property, equipment and software are carried at cost less accumulated depreciation and amortization. The Company uses the straight-line method of depreciation and amortization. The office building acquired in April 2025 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depreciated over its estimated useful life of 39 years, and the related building improvements are depreciated over their respective estimated useful lives. Tenant and leasehold improvements are amortized over the shorter of the lease term or the estimated useful life. Estimated useful lives range from three years to seven years for furniture and fixtures, computer equipment, and software.</w:t>
      </w:r>
    </w:p>
    <w:p>
      <w:pPr>
        <w:spacing w:after="0" w:line="20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Internally-developed software is capitalized when preliminary development efforts are successfully completed and it is probable that the project will be completed, and the software will be used as intended. Capitalized costs consist of salaries and compensation costs for employees, fees paid to third-party consultants who are directly involved in development efforts, and costs incurred for upgrades and enhancements to add functionality of the software. Other costs are expensed as incurred.</w:t>
      </w:r>
    </w:p>
    <w:p>
      <w:pPr>
        <w:spacing w:after="0" w:line="19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The Company evaluates impairments of its property, equipment and software whenever events or changes in circumstances indicate that the carrying amount of the assets may not be recoverable. If the asset is not recoverable, measurement of an impairment loss is based on the fair value of the asset. When an impairment loss is recognized, the carrying amount of the asset is reduced to its estimated fair value.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Lessor Accounting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Operating Leases</w:t>
      </w:r>
    </w:p>
    <w:p>
      <w:pPr>
        <w:spacing w:after="0" w:line="26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 xml:space="preserve">The Company leases space in its office building to third-party tenants under operating lease agreements. The Company earns rental income from such leases which is recorded within “Other non-interest income” on the Income Statement. Rental income is comprised of (i) a lease component, which includes fixed lease payments, recognized on a straight-line basis over the non-cancelable lease term, and (ii) a nonlease component, which includes variable lease payments, such as operating expense reimbursements, recognized in the period incurred. The Company has elected the lessor practical expedient under Accounting Standards Codification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 account for the lease component and nonlease component associated with each lease as a single component.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Other Intangible Assets</w:t>
      </w:r>
    </w:p>
    <w:p>
      <w:pPr>
        <w:spacing w:after="0" w:line="2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Goodwill is recorded when the purchase price of an acquired business exceeds the fair value of the net assets acquired. Goodwill is assigned to the Company’s reporting units at the acquisition date according to the expected economic benefits that the acquired business will provide to the reporting unit. A reporting unit is a business operating segment or a component of a business operating segment. The Company identifies its reporting units based on how the operating segments and reporting units are managed. Accordingly, the Company allocated goodwill to the LC Bank operating segment.</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Goodwill is tested for impairment annually or more frequently in certain circumstances. The Company’s annual impairment testing is performed in the fourth quarter of each calendar year. Impairment exists when the carrying value of goodwill exceeds its estimated fair value. Adverse changes in impairment indicators such as lower than forecast financial performance, increased competition, increased regulatory oversight, or unplanned changes in operations could result in impairment.</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can elect to either qualitatively assess goodwill for impairment, or bypass the qualitative test and proceed directly to a quantitative test. If the Company performs a qualitative assessment of goodwill to test for impairment and concludes it is more likely than not that the estimated fair value of a reporting unit is greater than its carrying value, a quantitative test is not required. However, if the Company determines it is more likely than not that a reporting unit’s fair value is less than its carrying amount, a quantitative assessment is performed to determine if goodwill impairment exists. Under the quantitative impairment assessment, the fair values of the Company’s reporting units are determined using a combination of income and market-based approaches.</w:t>
      </w:r>
    </w:p>
    <w:p>
      <w:pPr>
        <w:spacing w:after="0" w:line="219"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Other intangible assets with determinable lives are recorded at their fair value upon completion of a business acquisition or certain other transactions, and generally represent the value of customer contracts or relationships.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Such assets are amortized over their useful lives in a manner that best reflects their economic benefit, which may include straight-line or accelerated methods of amortization. Other intangible assets are reviewed for impairment quarterly and when events or changes in circumstances indicate that their carrying amount may not be recoverable. The Company does not have indefinite-lived intangible assets other than goodwill. Intangible assets are reported in “Other assets” on the Balance Sheet.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2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Loss contingencies, including claims and legal actions arising in the ordinary course of business, are recorded as liabilities in “Other liabilities” on the Balance Sheet. Associated legal expense is recorded in “Other non-interest expense” on the Income Statement. Such liabilities and associated expenses are recorded when the likelihood of loss is probable and an amount or range of loss can be reasonably estimated. The Company will also disclose a range of exposure to incremental loss when such amounts can be estimated and are reasonably possible to occur in future periods. In estimating the Company’s exposure to loss contingencies, if an amount within the estimated range of loss is the best estimate, that amount will be accrued. However, if there is no amount within the estimated range of loss that is the best estimate, the Company will accrue the minimum amount within the range, and disclose the amount up to the high end of the range as an exposure to incremental loss, if such amount is considered reasonably possible. Such estimates are based on the best information available at the time. As additional information becomes available, the Company reassesses the potential liability and records an adjustment to its estimate in the period in which the adjustment is probable and an amount or range can be reasonably estimated. The determination of an expected contingent liability and associated litigation expense requires the Company to make assumptions related to the outcome of these matters. Due to the inherent uncertainties of loss contingencies, the Company’s estimates may be different than the actual outcomes. Legal fees, including legal fees associated with loss contingencies, are recognized as incurred and included in “Professional services” expense on the Income Statement.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6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Stock-based compensation includes expense primarily associated with restricted stock units (RSUs) and performance-based restricted stock units (PBRSUs). Stock-based compensation expense is based on the grant date fair value of the award. The cost is generally recognized over the vesting period on a straight-line basis. Forfeitures are recognized as incurred.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4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Shares repurchased in the open market are retired upon repurchase. Accordingly, the Company reduces common stock by the par value of the retired shares, with the excess of the repurchase price over par value recorded as a reduction to additional paid-in capital.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able to realize its deferred tax assets in the future in excess of the net recorded amount, the Company decreases the deferred tax asset valuation allowance, which reduces the provision for income taxes.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benefit” on the Income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26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Basic earnings per share (EPS) attributable to common stockholders is computed by dividing net income by the weighted-average number of common shares outstanding during the period. Diluted EPS is computed by dividing net income by the weighted-average number of common shares outstanding during the period, adjusted for the effects of dilutive issuances of shares of common stock, which predominantly include incremental shares issued for outstanding RSUs and PBRSUs. PBRSUs are included in dilutive shares to the extent the pre-established performance targets have been or are estimated to be satisfied as of the reporting date. The dilutive potential common shares are computed using the treasury stock method. The effects of the common shares outstanding are excluded from the computation of diluted EPS in periods in which the effect would be antidilutive.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Consolidation of Variable Interest Entities</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 variable interest entity (VIE) is a legal entity that has either a total equity investment that is insufficient to finance its activities without additional subordinated financial support or whose equity investors lack the characteristics of a controlling financial interest.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 The Company consolidates a VIE when it is deemed to be the primary beneficiary. The Company assesses whether or not it is the primary beneficiary of a VIE on an ongoing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Transfers of Financial Assets</w:t>
      </w:r>
    </w:p>
    <w:p>
      <w:pPr>
        <w:spacing w:after="0" w:line="26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Company accounts for transfers of financial assets as sales when it has surrendered control over the transferred assets. Control is generally considered to have been surrendered when the transferred assets have been legally isolated from the Company, the transferee has the right to pledge or exchange the assets without any significant constraints, and the Company has not entered into a repurchase agreement, does not hold unconditional call options and has not written put options on the transferred assets. In assessing whether control has been surrendered, the Company considers whether the transferee would be a consolidated affiliate and the impact of all arrangements or agreements made contemporaneously with, or in contemplation of the transfer, even if they were not entered into at the time of transfer. The Company measures gain or loss on sale of financial assets as the net proceeds received on the sale less the carrying amount of the loans sold. The net proceeds of the sale represent the fair value of any assets obtained or liabilities incurred as part of the transaction, including, but not limited to servicing assets, retained securities, and recourse obligations.</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auto"/>
        </w:rPr>
        <w:t>Transfers of financial assets that do not qualify for sale accounting would be reported as secured borrowings. Accordingly, the related assets would remain on the Company’s Balance Sheet and continue to be reported and accounted for as if the transfer had not occurred. Cash proceeds from these transfers are reported as liabilities, with related interest expense recognized over the life of the related assets.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Standards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adopted the following new accounting standards during the year ended December 31, 2025:</w:t>
      </w:r>
    </w:p>
    <w:p>
      <w:pPr>
        <w:spacing w:after="0" w:line="2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 Improvements to Income Tax Disclosures</w:t>
      </w:r>
      <w:r>
        <w:rPr>
          <w:rFonts w:ascii="Times New Roman" w:cs="Times New Roman" w:eastAsia="Times New Roman" w:hAnsi="Times New Roman"/>
          <w:sz w:val="20"/>
          <w:szCs w:val="20"/>
          <w:color w:val="auto"/>
        </w:rPr>
        <w:t>, which improves income tax disclosure requirements, primarily through enhanced disclosures surrounding rate reconciliation and income taxes paid. The Company adopted this ASU for the full year ended December 31, 2025, on a retrospective basis. The adoption of this standard did not have a 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 Not Yet Adopted</w:t>
      </w:r>
    </w:p>
    <w:p>
      <w:pPr>
        <w:spacing w:after="0" w:line="22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 xml:space="preserve">In December 2025, the FASB issued ASU 2025-12, </w:t>
      </w:r>
      <w:r>
        <w:rPr>
          <w:rFonts w:ascii="Times New Roman" w:cs="Times New Roman" w:eastAsia="Times New Roman" w:hAnsi="Times New Roman"/>
          <w:sz w:val="19"/>
          <w:szCs w:val="19"/>
          <w:i w:val="1"/>
          <w:iCs w:val="1"/>
          <w:color w:val="auto"/>
        </w:rPr>
        <w:t>Codification Improvements,</w:t>
      </w:r>
      <w:r>
        <w:rPr>
          <w:rFonts w:ascii="Times New Roman" w:cs="Times New Roman" w:eastAsia="Times New Roman" w:hAnsi="Times New Roman"/>
          <w:sz w:val="19"/>
          <w:szCs w:val="19"/>
          <w:color w:val="auto"/>
        </w:rPr>
        <w:t xml:space="preserve"> which makes incremental improvements to GAAP. The updates cover a broad range of topics arising from technical corrections, unintended applications of the codification, and other minor improvements. The new standard is effective for annual reporting periods beginning after December 15, 2026 and interim reporting periods within those annual reporting periods. The standard can be applied prospectively or retrospectively on a topic by topic basis. Early adoption is also permitted on a topic by topic basis. The Company is evaluating the impact of this ASU but does not expect it to be material.</w:t>
      </w:r>
    </w:p>
    <w:p>
      <w:pPr>
        <w:spacing w:after="0" w:line="18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i w:val="1"/>
          <w:iCs w:val="1"/>
          <w:color w:val="auto"/>
        </w:rPr>
        <w:t>Interim Reporting (Topic 27) - Narrow-Scope Improvements,</w:t>
      </w:r>
      <w:r>
        <w:rPr>
          <w:rFonts w:ascii="Times New Roman" w:cs="Times New Roman" w:eastAsia="Times New Roman" w:hAnsi="Times New Roman"/>
          <w:sz w:val="20"/>
          <w:szCs w:val="20"/>
          <w:color w:val="auto"/>
        </w:rPr>
        <w:t xml:space="preserve"> which improves the navigability of the required interim disclosures and clarify when the guidance is applicable. The amendments also provide guidance on what disclosures are required during the interim reporting periods. Additionally, the amendments also includes a disclosure principle that requires entities to disclose events since the end of the last reporting period that have a material impact. The amendments of this standard are effective for interim reporting periods beginning after December 15, 2027. The amendments can be applied either prospectively or retrospectively. Early adoption is also permitted. The Company is evaluating the impact of this ASU but does not expect it to be material.</w:t>
      </w:r>
    </w:p>
    <w:p>
      <w:pPr>
        <w:spacing w:after="0" w:line="20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 – Goodwill and Other – Internal-Use Software (Subtopic 350-40): Targeted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Improvements to the Accounting for Internal-Use Software, </w:t>
      </w:r>
      <w:r>
        <w:rPr>
          <w:rFonts w:ascii="Times New Roman" w:cs="Times New Roman" w:eastAsia="Times New Roman" w:hAnsi="Times New Roman"/>
          <w:sz w:val="20"/>
          <w:szCs w:val="20"/>
          <w:color w:val="auto"/>
        </w:rPr>
        <w:t>which modernizes the guidance to reflect the software development approaches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currently used. Specifically, the ASU eliminates accounting consideration of software project development stages and enhances the guidance around the “probable-to-complete” threshold. The new standard is effective for annual reporting periods beginning after December 15, 2027, and interim reporting periods within those annual reporting periods. The amendments of this standard can be applied retrospectively, prospectively or on a modified prospective basis. Early adoption is also permitted. The Company is evaluating the impact of this ASU but does not expect it to be material.</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(Topic 220)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Disclosures</w:t>
      </w:r>
      <w:r>
        <w:rPr>
          <w:rFonts w:ascii="Times New Roman" w:cs="Times New Roman" w:eastAsia="Times New Roman" w:hAnsi="Times New Roman"/>
          <w:sz w:val="20"/>
          <w:szCs w:val="20"/>
          <w:color w:val="auto"/>
        </w:rPr>
        <w:t>, which improves income statement expense disclosure requirements, primarily through disaggregated disclosures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certain expense captions into specified categories within the footnotes to the financial statements. The new standard is effective for annual reporting periods beginning after December 15, 2026 and interim reporting periods within annual reporting periods beginning after December 15, 2027. The amendments of this standard should be applied prospectively, with retrospective application permitted. Early adoption is also permitted. The Company is evaluating the impact of this ASU but does not expect it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Marketplace Revenue</w:t>
      </w:r>
    </w:p>
    <w:p>
      <w:pPr>
        <w:spacing w:after="0" w:line="260"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Marketplace revenue consists of (i) origination fees, (ii) servicing fees, (iii) gain on sales of loans and (iv) net fair value adjustments, as described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Origination Fees: </w:t>
      </w:r>
      <w:r>
        <w:rPr>
          <w:rFonts w:ascii="Times New Roman" w:cs="Times New Roman" w:eastAsia="Times New Roman" w:hAnsi="Times New Roman"/>
          <w:sz w:val="20"/>
          <w:szCs w:val="20"/>
          <w:color w:val="auto"/>
        </w:rPr>
        <w:t>Fees charged to borrowers in connection with the origination of loans that are held for sale.</w:t>
      </w:r>
    </w:p>
    <w:p>
      <w:pPr>
        <w:spacing w:after="0" w:line="24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Servicing Fees: </w:t>
      </w:r>
      <w:r>
        <w:rPr>
          <w:rFonts w:ascii="Times New Roman" w:cs="Times New Roman" w:eastAsia="Times New Roman" w:hAnsi="Times New Roman"/>
          <w:sz w:val="20"/>
          <w:szCs w:val="20"/>
          <w:color w:val="auto"/>
        </w:rPr>
        <w:t>The Company receives servicing fees to compensate it for servicing loans on behalf of marketplace investors,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managing payments from borrowers and remittances to those investors. The amount of servicing fee revenue earned is predominantly affected by the servicing rates paid by investors and the outstanding principal balance of loans serviced for investors. Servicing fee revenue related to loans sold also includes the associated change in the fair value of servicing assets.</w:t>
      </w:r>
    </w:p>
    <w:p>
      <w:pPr>
        <w:spacing w:after="0" w:line="205"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Gain on Sales of Loans: </w:t>
      </w:r>
      <w:r>
        <w:rPr>
          <w:rFonts w:ascii="Times New Roman" w:cs="Times New Roman" w:eastAsia="Times New Roman" w:hAnsi="Times New Roman"/>
          <w:sz w:val="20"/>
          <w:szCs w:val="20"/>
          <w:color w:val="auto"/>
        </w:rPr>
        <w:t>In connection with loan sales to marketplace investors, the Company capitalizes the initial fair value of servicing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rights. A gain or loss is recorded based on the level to which the contractual servicing fee is above or below an estimated market rate of servicing at the time of sale. Additionally, the Company recognizes transaction costs, if any, as a loss on sale of loans.</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Net Fair Value Adjustments: </w:t>
      </w:r>
      <w:r>
        <w:rPr>
          <w:rFonts w:ascii="Times New Roman" w:cs="Times New Roman" w:eastAsia="Times New Roman" w:hAnsi="Times New Roman"/>
          <w:sz w:val="20"/>
          <w:szCs w:val="20"/>
          <w:color w:val="auto"/>
        </w:rPr>
        <w:t>The Company records adjustments to the carrying value of loans, for which it has elected to account for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fair value option, to reflect their fair value. These adjustments include gains or losses from sale prices in excess of or less than the loan principal amount sold and realized net charge-offs. In addition, as loans are held on the Balance Sheet, incremental fair value adjustments on the loans are recorded in “Net fair value adjustments” within “Marketplace revenue,” whereas the associated interest income is recorded within “Net interest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components of marketplace revenue for the periods presented: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3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Origination fees</w:t>
            </w:r>
          </w:p>
        </w:tc>
        <w:tc>
          <w:tcPr>
            <w:tcW w:w="2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372,815</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283,420</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279,146</w:t>
            </w: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Servicing fees</w:t>
            </w:r>
          </w:p>
        </w:tc>
        <w:tc>
          <w:tcPr>
            <w:tcW w:w="232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58,988</w:t>
            </w:r>
          </w:p>
        </w:tc>
        <w:tc>
          <w:tcPr>
            <w:tcW w:w="4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64,933</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98,613</w:t>
            </w:r>
          </w:p>
        </w:tc>
      </w:tr>
      <w:tr>
        <w:trPr>
          <w:trHeight w:val="25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Gain on sales of loans</w:t>
            </w:r>
          </w:p>
        </w:tc>
        <w:tc>
          <w:tcPr>
            <w:tcW w:w="2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59,087</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49,097</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47,839</w:t>
            </w:r>
          </w:p>
        </w:tc>
      </w:tr>
      <w:tr>
        <w:trPr>
          <w:trHeight w:val="25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fair value adjustments</w:t>
            </w:r>
          </w:p>
        </w:tc>
        <w:tc>
          <w:tcPr>
            <w:tcW w:w="2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(134,946)</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(154,659)</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(134,114)</w:t>
            </w:r>
          </w:p>
        </w:tc>
      </w:tr>
      <w:tr>
        <w:trPr>
          <w:trHeight w:val="275"/>
        </w:trPr>
        <w:tc>
          <w:tcPr>
            <w:tcW w:w="4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marketplace revenue</w:t>
            </w:r>
          </w:p>
        </w:tc>
        <w:tc>
          <w:tcPr>
            <w:tcW w:w="2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355,944</w:t>
            </w:r>
          </w:p>
        </w:tc>
        <w:tc>
          <w:tcPr>
            <w:tcW w:w="4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242,791</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291,484</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Earnings Per Share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the computation of the Company’s basic and diluted EPS: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6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Basic EPS:</w:t>
            </w:r>
          </w:p>
        </w:tc>
        <w:tc>
          <w:tcPr>
            <w:tcW w:w="16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135,677</w:t>
            </w:r>
          </w:p>
        </w:tc>
        <w:tc>
          <w:tcPr>
            <w:tcW w:w="4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256"/>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common shares – Basic</w:t>
            </w:r>
          </w:p>
        </w:tc>
        <w:tc>
          <w:tcPr>
            <w:tcW w:w="16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114,605,220</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111,731,523</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108,466,179</w:t>
            </w:r>
          </w:p>
        </w:tc>
      </w:tr>
      <w:tr>
        <w:trPr>
          <w:trHeight w:val="250"/>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Basic EPS</w:t>
            </w:r>
          </w:p>
        </w:tc>
        <w:tc>
          <w:tcPr>
            <w:tcW w:w="1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1.18</w:t>
            </w:r>
          </w:p>
        </w:tc>
        <w:tc>
          <w:tcPr>
            <w:tcW w:w="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0.46</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0.36</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48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Diluted EPS:</w:t>
            </w: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135,677</w:t>
            </w:r>
          </w:p>
        </w:tc>
        <w:tc>
          <w:tcPr>
            <w:tcW w:w="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25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Weighted-average common shares – Diluted</w:t>
            </w:r>
          </w:p>
        </w:tc>
        <w:tc>
          <w:tcPr>
            <w:tcW w:w="16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117,233,815</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113,122,859</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108,468,857</w:t>
            </w:r>
          </w:p>
        </w:tc>
      </w:tr>
      <w:tr>
        <w:trPr>
          <w:trHeight w:val="275"/>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Diluted EPS</w:t>
            </w:r>
          </w:p>
        </w:tc>
        <w:tc>
          <w:tcPr>
            <w:tcW w:w="16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1.16</w:t>
            </w:r>
          </w:p>
        </w:tc>
        <w:tc>
          <w:tcPr>
            <w:tcW w:w="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0.45</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0.36</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Securities Available for Sale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gross unrealized gains and losses, and fair value of AFS securities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61"/>
              <w:spacing w:after="0" w:line="203" w:lineRule="exact"/>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60"/>
              <w:spacing w:after="0" w:line="203" w:lineRule="exact"/>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01"/>
              <w:spacing w:after="0" w:line="203" w:lineRule="exact"/>
              <w:rPr>
                <w:sz w:val="20"/>
                <w:szCs w:val="20"/>
                <w:color w:val="auto"/>
              </w:rPr>
            </w:pPr>
            <w:r>
              <w:rPr>
                <w:rFonts w:ascii="Times New Roman" w:cs="Times New Roman" w:eastAsia="Times New Roman" w:hAnsi="Times New Roman"/>
                <w:sz w:val="20"/>
                <w:szCs w:val="20"/>
                <w:b w:val="1"/>
                <w:bCs w:val="1"/>
                <w:color w:val="auto"/>
                <w:w w:val="98"/>
              </w:rPr>
              <w:t>Allowance</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Fair</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161"/>
              <w:spacing w:after="0" w:line="203"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220" w:type="dxa"/>
            <w:vAlign w:val="bottom"/>
          </w:tcPr>
          <w:p>
            <w:pPr>
              <w:spacing w:after="0"/>
              <w:rPr>
                <w:sz w:val="17"/>
                <w:szCs w:val="17"/>
                <w:color w:val="auto"/>
              </w:rPr>
            </w:pPr>
          </w:p>
        </w:tc>
        <w:tc>
          <w:tcPr>
            <w:tcW w:w="124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220" w:type="dxa"/>
            <w:vAlign w:val="bottom"/>
          </w:tcPr>
          <w:p>
            <w:pPr>
              <w:spacing w:after="0"/>
              <w:rPr>
                <w:sz w:val="17"/>
                <w:szCs w:val="17"/>
                <w:color w:val="auto"/>
              </w:rPr>
            </w:pPr>
          </w:p>
        </w:tc>
        <w:tc>
          <w:tcPr>
            <w:tcW w:w="120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b w:val="1"/>
                <w:bCs w:val="1"/>
                <w:color w:val="auto"/>
                <w:w w:val="99"/>
              </w:rPr>
              <w:t>for Credit</w:t>
            </w:r>
          </w:p>
        </w:tc>
        <w:tc>
          <w:tcPr>
            <w:tcW w:w="3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Cost</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Gains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187"/>
        </w:trPr>
        <w:tc>
          <w:tcPr>
            <w:tcW w:w="36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20"/>
                <w:szCs w:val="20"/>
                <w:color w:val="auto"/>
              </w:rPr>
              <w:t>Senior asset-backed securities related to</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3,065,885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26,525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3,092,410</w:t>
            </w:r>
          </w:p>
        </w:tc>
        <w:tc>
          <w:tcPr>
            <w:tcW w:w="0" w:type="dxa"/>
            <w:vAlign w:val="bottom"/>
          </w:tcPr>
          <w:p>
            <w:pPr>
              <w:spacing w:after="0"/>
              <w:rPr>
                <w:sz w:val="1"/>
                <w:szCs w:val="1"/>
                <w:color w:val="auto"/>
              </w:rPr>
            </w:pPr>
          </w:p>
        </w:tc>
      </w:tr>
      <w:tr>
        <w:trPr>
          <w:trHeight w:val="252"/>
        </w:trPr>
        <w:tc>
          <w:tcPr>
            <w:tcW w:w="3640" w:type="dxa"/>
            <w:vAlign w:val="bottom"/>
            <w:shd w:val="clear" w:color="auto" w:fill="CCEEFF"/>
          </w:tcPr>
          <w:p>
            <w:pPr>
              <w:ind w:left="180"/>
              <w:spacing w:after="0" w:line="252" w:lineRule="exact"/>
              <w:rPr>
                <w:sz w:val="20"/>
                <w:szCs w:val="20"/>
                <w:color w:val="auto"/>
              </w:rPr>
            </w:pPr>
            <w:r>
              <w:rPr>
                <w:rFonts w:ascii="Times New Roman" w:cs="Times New Roman" w:eastAsia="Times New Roman" w:hAnsi="Times New Roman"/>
                <w:sz w:val="20"/>
                <w:szCs w:val="20"/>
                <w:color w:val="auto"/>
              </w:rPr>
              <w:t xml:space="preserve">Structured Program transactions </w:t>
            </w:r>
            <w:r>
              <w:rPr>
                <w:rFonts w:ascii="Times New Roman" w:cs="Times New Roman" w:eastAsia="Times New Roman" w:hAnsi="Times New Roman"/>
                <w:sz w:val="25"/>
                <w:szCs w:val="25"/>
                <w:color w:val="auto"/>
                <w:vertAlign w:val="superscript"/>
              </w:rPr>
              <w:t>(1)</w:t>
            </w:r>
          </w:p>
        </w:tc>
        <w:tc>
          <w:tcPr>
            <w:tcW w:w="4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U.S. agency residential mortgage-backed</w:t>
            </w:r>
          </w:p>
        </w:tc>
        <w:tc>
          <w:tcPr>
            <w:tcW w:w="480" w:type="dxa"/>
            <w:vAlign w:val="bottom"/>
          </w:tcPr>
          <w:p>
            <w:pPr>
              <w:spacing w:after="0"/>
              <w:rPr>
                <w:sz w:val="16"/>
                <w:szCs w:val="16"/>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267,853</w:t>
            </w:r>
          </w:p>
        </w:tc>
        <w:tc>
          <w:tcPr>
            <w:tcW w:w="240" w:type="dxa"/>
            <w:vAlign w:val="bottom"/>
          </w:tcPr>
          <w:p>
            <w:pPr>
              <w:spacing w:after="0"/>
              <w:rPr>
                <w:sz w:val="16"/>
                <w:szCs w:val="16"/>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504</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(32,296)</w:t>
            </w:r>
          </w:p>
        </w:tc>
        <w:tc>
          <w:tcPr>
            <w:tcW w:w="220" w:type="dxa"/>
            <w:vAlign w:val="bottom"/>
          </w:tcPr>
          <w:p>
            <w:pPr>
              <w:spacing w:after="0"/>
              <w:rPr>
                <w:sz w:val="16"/>
                <w:szCs w:val="16"/>
                <w:color w:val="auto"/>
              </w:rPr>
            </w:pPr>
          </w:p>
        </w:tc>
        <w:tc>
          <w:tcPr>
            <w:tcW w:w="1200" w:type="dxa"/>
            <w:vAlign w:val="bottom"/>
            <w:vMerge w:val="restart"/>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236,061</w:t>
            </w:r>
          </w:p>
        </w:tc>
        <w:tc>
          <w:tcPr>
            <w:tcW w:w="0" w:type="dxa"/>
            <w:vAlign w:val="bottom"/>
          </w:tcPr>
          <w:p>
            <w:pPr>
              <w:spacing w:after="0"/>
              <w:rPr>
                <w:sz w:val="1"/>
                <w:szCs w:val="1"/>
                <w:color w:val="auto"/>
              </w:rPr>
            </w:pPr>
          </w:p>
        </w:tc>
      </w:tr>
      <w:tr>
        <w:trPr>
          <w:trHeight w:val="252"/>
        </w:trPr>
        <w:tc>
          <w:tcPr>
            <w:tcW w:w="3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4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20"/>
                <w:szCs w:val="20"/>
                <w:color w:val="auto"/>
              </w:rPr>
              <w:t>Other asset-backed securities related to</w:t>
            </w:r>
          </w:p>
        </w:tc>
        <w:tc>
          <w:tcPr>
            <w:tcW w:w="4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224,802</w:t>
            </w: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w:t>
            </w:r>
          </w:p>
        </w:tc>
        <w:tc>
          <w:tcPr>
            <w:tcW w:w="2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(1,367)</w:t>
            </w:r>
          </w:p>
        </w:tc>
        <w:tc>
          <w:tcPr>
            <w:tcW w:w="2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20"/>
                <w:szCs w:val="20"/>
                <w:color w:val="auto"/>
              </w:rPr>
              <w:t>(4,093)</w:t>
            </w:r>
          </w:p>
        </w:tc>
        <w:tc>
          <w:tcPr>
            <w:tcW w:w="3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219,370</w:t>
            </w:r>
          </w:p>
        </w:tc>
        <w:tc>
          <w:tcPr>
            <w:tcW w:w="0" w:type="dxa"/>
            <w:vAlign w:val="bottom"/>
          </w:tcPr>
          <w:p>
            <w:pPr>
              <w:spacing w:after="0"/>
              <w:rPr>
                <w:sz w:val="1"/>
                <w:szCs w:val="1"/>
                <w:color w:val="auto"/>
              </w:rPr>
            </w:pPr>
          </w:p>
        </w:tc>
      </w:tr>
      <w:tr>
        <w:trPr>
          <w:trHeight w:val="252"/>
        </w:trPr>
        <w:tc>
          <w:tcPr>
            <w:tcW w:w="3640" w:type="dxa"/>
            <w:vAlign w:val="bottom"/>
            <w:shd w:val="clear" w:color="auto" w:fill="CCEEFF"/>
          </w:tcPr>
          <w:p>
            <w:pPr>
              <w:ind w:left="180"/>
              <w:spacing w:after="0" w:line="252" w:lineRule="exact"/>
              <w:rPr>
                <w:sz w:val="20"/>
                <w:szCs w:val="20"/>
                <w:color w:val="auto"/>
              </w:rPr>
            </w:pPr>
            <w:r>
              <w:rPr>
                <w:rFonts w:ascii="Times New Roman" w:cs="Times New Roman" w:eastAsia="Times New Roman" w:hAnsi="Times New Roman"/>
                <w:sz w:val="20"/>
                <w:szCs w:val="20"/>
                <w:color w:val="auto"/>
              </w:rPr>
              <w:t xml:space="preserve">Structured Program transactions </w:t>
            </w:r>
            <w:r>
              <w:rPr>
                <w:rFonts w:ascii="Times New Roman" w:cs="Times New Roman" w:eastAsia="Times New Roman" w:hAnsi="Times New Roman"/>
                <w:sz w:val="25"/>
                <w:szCs w:val="25"/>
                <w:color w:val="auto"/>
                <w:vertAlign w:val="superscript"/>
              </w:rPr>
              <w:t>(2)</w:t>
            </w:r>
          </w:p>
        </w:tc>
        <w:tc>
          <w:tcPr>
            <w:tcW w:w="4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 agency securities</w:t>
            </w:r>
          </w:p>
        </w:tc>
        <w:tc>
          <w:tcPr>
            <w:tcW w:w="48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84,464</w:t>
            </w:r>
          </w:p>
        </w:tc>
        <w:tc>
          <w:tcPr>
            <w:tcW w:w="24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(10,602)</w:t>
            </w:r>
          </w:p>
        </w:tc>
        <w:tc>
          <w:tcPr>
            <w:tcW w:w="220" w:type="dxa"/>
            <w:vAlign w:val="bottom"/>
          </w:tcPr>
          <w:p>
            <w:pPr>
              <w:spacing w:after="0"/>
              <w:rPr>
                <w:sz w:val="22"/>
                <w:szCs w:val="22"/>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73,862</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60,423</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135</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(4,961)</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55,597</w:t>
            </w:r>
          </w:p>
        </w:tc>
        <w:tc>
          <w:tcPr>
            <w:tcW w:w="0" w:type="dxa"/>
            <w:vAlign w:val="bottom"/>
          </w:tcPr>
          <w:p>
            <w:pPr>
              <w:spacing w:after="0"/>
              <w:rPr>
                <w:sz w:val="1"/>
                <w:szCs w:val="1"/>
                <w:color w:val="auto"/>
              </w:rPr>
            </w:pP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Municipal securities</w:t>
            </w:r>
          </w:p>
        </w:tc>
        <w:tc>
          <w:tcPr>
            <w:tcW w:w="48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3,215</w:t>
            </w:r>
          </w:p>
        </w:tc>
        <w:tc>
          <w:tcPr>
            <w:tcW w:w="24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220" w:type="dxa"/>
            <w:vAlign w:val="bottom"/>
          </w:tcPr>
          <w:p>
            <w:pPr>
              <w:spacing w:after="0"/>
              <w:rPr>
                <w:sz w:val="22"/>
                <w:szCs w:val="22"/>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0" w:type="dxa"/>
            <w:vAlign w:val="bottom"/>
          </w:tcPr>
          <w:p>
            <w:pPr>
              <w:spacing w:after="0"/>
              <w:rPr>
                <w:sz w:val="1"/>
                <w:szCs w:val="1"/>
                <w:color w:val="auto"/>
              </w:rPr>
            </w:pPr>
          </w:p>
        </w:tc>
      </w:tr>
      <w:tr>
        <w:trPr>
          <w:trHeight w:val="257"/>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securities</w:t>
            </w: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27,138</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45</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26,803</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Total securities available for sale</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3,733,780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27,237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(4,093)</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3,706,709</w:t>
            </w:r>
          </w:p>
        </w:tc>
        <w:tc>
          <w:tcPr>
            <w:tcW w:w="0" w:type="dxa"/>
            <w:vAlign w:val="bottom"/>
          </w:tcPr>
          <w:p>
            <w:pPr>
              <w:spacing w:after="0"/>
              <w:rPr>
                <w:sz w:val="1"/>
                <w:szCs w:val="1"/>
                <w:color w:val="auto"/>
              </w:rPr>
            </w:pP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61"/>
              <w:spacing w:after="0" w:line="203" w:lineRule="exact"/>
              <w:rPr>
                <w:sz w:val="20"/>
                <w:szCs w:val="20"/>
                <w:color w:val="auto"/>
              </w:rPr>
            </w:pPr>
            <w:r>
              <w:rPr>
                <w:rFonts w:ascii="Times New Roman" w:cs="Times New Roman" w:eastAsia="Times New Roman" w:hAnsi="Times New Roman"/>
                <w:sz w:val="20"/>
                <w:szCs w:val="20"/>
                <w:b w:val="1"/>
                <w:bCs w:val="1"/>
                <w:color w:val="auto"/>
              </w:rPr>
              <w:t>Gross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60"/>
              <w:spacing w:after="0" w:line="203" w:lineRule="exact"/>
              <w:rPr>
                <w:sz w:val="20"/>
                <w:szCs w:val="20"/>
                <w:color w:val="auto"/>
              </w:rPr>
            </w:pPr>
            <w:r>
              <w:rPr>
                <w:rFonts w:ascii="Times New Roman" w:cs="Times New Roman" w:eastAsia="Times New Roman" w:hAnsi="Times New Roman"/>
                <w:sz w:val="20"/>
                <w:szCs w:val="20"/>
                <w:b w:val="1"/>
                <w:bCs w:val="1"/>
                <w:color w:val="auto"/>
              </w:rPr>
              <w:t>Gross</w:t>
            </w: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Allowance</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Fair</w:t>
            </w:r>
          </w:p>
        </w:tc>
        <w:tc>
          <w:tcPr>
            <w:tcW w:w="0" w:type="dxa"/>
            <w:vAlign w:val="bottom"/>
          </w:tcPr>
          <w:p>
            <w:pPr>
              <w:spacing w:after="0"/>
              <w:rPr>
                <w:sz w:val="1"/>
                <w:szCs w:val="1"/>
                <w:color w:val="auto"/>
              </w:rPr>
            </w:pPr>
          </w:p>
        </w:tc>
      </w:tr>
      <w:tr>
        <w:trPr>
          <w:trHeight w:val="202"/>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4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161"/>
              <w:spacing w:after="0" w:line="203"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220" w:type="dxa"/>
            <w:vAlign w:val="bottom"/>
          </w:tcPr>
          <w:p>
            <w:pPr>
              <w:spacing w:after="0"/>
              <w:rPr>
                <w:sz w:val="17"/>
                <w:szCs w:val="17"/>
                <w:color w:val="auto"/>
              </w:rPr>
            </w:pPr>
          </w:p>
        </w:tc>
        <w:tc>
          <w:tcPr>
            <w:tcW w:w="1240" w:type="dxa"/>
            <w:vAlign w:val="bottom"/>
          </w:tcPr>
          <w:p>
            <w:pPr>
              <w:jc w:val="right"/>
              <w:ind w:right="181"/>
              <w:spacing w:after="0" w:line="203"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Cost</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Gains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for Credit Losses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183"/>
        </w:trPr>
        <w:tc>
          <w:tcPr>
            <w:tcW w:w="36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20"/>
                <w:szCs w:val="20"/>
                <w:color w:val="auto"/>
              </w:rPr>
              <w:t>Senior asset-backed securities related to</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2,870,071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30,398</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2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vMerge w:val="restart"/>
            <w:shd w:val="clear" w:color="auto" w:fill="CCEEFF"/>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2,899,824</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Structured Program transactions </w:t>
            </w:r>
            <w:r>
              <w:rPr>
                <w:rFonts w:ascii="Times New Roman" w:cs="Times New Roman" w:eastAsia="Times New Roman" w:hAnsi="Times New Roman"/>
                <w:sz w:val="25"/>
                <w:szCs w:val="25"/>
                <w:color w:val="auto"/>
                <w:vertAlign w:val="superscript"/>
              </w:rPr>
              <w:t>(1)</w:t>
            </w:r>
          </w:p>
        </w:tc>
        <w:tc>
          <w:tcPr>
            <w:tcW w:w="480" w:type="dxa"/>
            <w:vAlign w:val="bottom"/>
            <w:vMerge w:val="continue"/>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1340" w:type="dxa"/>
            <w:vAlign w:val="bottom"/>
            <w:vMerge w:val="continue"/>
            <w:shd w:val="clear" w:color="auto" w:fill="CCEEFF"/>
          </w:tcPr>
          <w:p>
            <w:pPr>
              <w:spacing w:after="0"/>
              <w:rPr>
                <w:sz w:val="22"/>
                <w:szCs w:val="22"/>
                <w:color w:val="auto"/>
              </w:rPr>
            </w:pPr>
          </w:p>
        </w:tc>
        <w:tc>
          <w:tcPr>
            <w:tcW w:w="320" w:type="dxa"/>
            <w:vAlign w:val="bottom"/>
            <w:vMerge w:val="continue"/>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U.S. agency residential mortgage-backed</w:t>
            </w:r>
          </w:p>
        </w:tc>
        <w:tc>
          <w:tcPr>
            <w:tcW w:w="480" w:type="dxa"/>
            <w:vAlign w:val="bottom"/>
          </w:tcPr>
          <w:p>
            <w:pPr>
              <w:spacing w:after="0"/>
              <w:rPr>
                <w:sz w:val="16"/>
                <w:szCs w:val="16"/>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270,120</w:t>
            </w:r>
          </w:p>
        </w:tc>
        <w:tc>
          <w:tcPr>
            <w:tcW w:w="240" w:type="dxa"/>
            <w:vAlign w:val="bottom"/>
          </w:tcPr>
          <w:p>
            <w:pPr>
              <w:spacing w:after="0"/>
              <w:rPr>
                <w:sz w:val="16"/>
                <w:szCs w:val="16"/>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48</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(43,243)</w:t>
            </w:r>
          </w:p>
        </w:tc>
        <w:tc>
          <w:tcPr>
            <w:tcW w:w="260" w:type="dxa"/>
            <w:vAlign w:val="bottom"/>
          </w:tcPr>
          <w:p>
            <w:pPr>
              <w:spacing w:after="0"/>
              <w:rPr>
                <w:sz w:val="16"/>
                <w:szCs w:val="16"/>
                <w:color w:val="auto"/>
              </w:rPr>
            </w:pPr>
          </w:p>
        </w:tc>
        <w:tc>
          <w:tcPr>
            <w:tcW w:w="134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226,925</w:t>
            </w:r>
          </w:p>
        </w:tc>
        <w:tc>
          <w:tcPr>
            <w:tcW w:w="0" w:type="dxa"/>
            <w:vAlign w:val="bottom"/>
          </w:tcPr>
          <w:p>
            <w:pPr>
              <w:spacing w:after="0"/>
              <w:rPr>
                <w:sz w:val="1"/>
                <w:szCs w:val="1"/>
                <w:color w:val="auto"/>
              </w:rPr>
            </w:pPr>
          </w:p>
        </w:tc>
      </w:tr>
      <w:tr>
        <w:trPr>
          <w:trHeight w:val="252"/>
        </w:trPr>
        <w:tc>
          <w:tcPr>
            <w:tcW w:w="3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4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20"/>
                <w:szCs w:val="20"/>
                <w:color w:val="auto"/>
              </w:rPr>
              <w:t>Other asset-backed securities related to</w:t>
            </w:r>
          </w:p>
        </w:tc>
        <w:tc>
          <w:tcPr>
            <w:tcW w:w="4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174,132</w:t>
            </w: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2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(3,527)</w:t>
            </w: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169,948</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Structured Program transactions </w:t>
            </w:r>
            <w:r>
              <w:rPr>
                <w:rFonts w:ascii="Times New Roman" w:cs="Times New Roman" w:eastAsia="Times New Roman" w:hAnsi="Times New Roman"/>
                <w:sz w:val="25"/>
                <w:szCs w:val="25"/>
                <w:color w:val="auto"/>
                <w:vertAlign w:val="superscript"/>
              </w:rPr>
              <w:t>(2)</w:t>
            </w:r>
          </w:p>
        </w:tc>
        <w:tc>
          <w:tcPr>
            <w:tcW w:w="48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vMerge w:val="continue"/>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 agency securities</w:t>
            </w:r>
          </w:p>
        </w:tc>
        <w:tc>
          <w:tcPr>
            <w:tcW w:w="48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90,459</w:t>
            </w:r>
          </w:p>
        </w:tc>
        <w:tc>
          <w:tcPr>
            <w:tcW w:w="24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w:t>
            </w:r>
          </w:p>
        </w:tc>
        <w:tc>
          <w:tcPr>
            <w:tcW w:w="260" w:type="dxa"/>
            <w:vAlign w:val="bottom"/>
          </w:tcPr>
          <w:p>
            <w:pPr>
              <w:spacing w:after="0"/>
              <w:rPr>
                <w:sz w:val="22"/>
                <w:szCs w:val="22"/>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75,946</w:t>
            </w: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62,882</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(6,216)</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56,674</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Municipal securities</w:t>
            </w:r>
          </w:p>
        </w:tc>
        <w:tc>
          <w:tcPr>
            <w:tcW w:w="48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3,236</w:t>
            </w:r>
          </w:p>
        </w:tc>
        <w:tc>
          <w:tcPr>
            <w:tcW w:w="24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260" w:type="dxa"/>
            <w:vAlign w:val="bottom"/>
          </w:tcPr>
          <w:p>
            <w:pPr>
              <w:spacing w:after="0"/>
              <w:rPr>
                <w:sz w:val="22"/>
                <w:szCs w:val="22"/>
                <w:color w:val="auto"/>
              </w:rPr>
            </w:pPr>
          </w:p>
        </w:tc>
        <w:tc>
          <w:tcPr>
            <w:tcW w:w="134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securities</w:t>
            </w: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21,364</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20,792</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Total securities available for sale</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3,492,264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30,469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(66,558)</w:t>
            </w:r>
          </w:p>
        </w:tc>
        <w:tc>
          <w:tcPr>
            <w:tcW w:w="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(3,527)</w:t>
            </w:r>
          </w:p>
        </w:tc>
        <w:tc>
          <w:tcPr>
            <w:tcW w:w="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3,452,648</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21" w:lineRule="auto"/>
        <w:tabs>
          <w:tab w:leader="none" w:pos="294"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a $0.7 million and $(2.2) million cumulative basis adjustment for securities designated in active fair value hedge relationships at December 31, 2025 and 2024, respectively. See “</w:t>
      </w:r>
      <w:r>
        <w:rPr>
          <w:rFonts w:ascii="Times New Roman" w:cs="Times New Roman" w:eastAsia="Times New Roman" w:hAnsi="Times New Roman"/>
          <w:sz w:val="20"/>
          <w:szCs w:val="20"/>
          <w:i w:val="1"/>
          <w:iCs w:val="1"/>
          <w:color w:val="auto"/>
        </w:rPr>
        <w:t>Note 8. Derivative Instruments and Hedging Activities</w:t>
      </w:r>
      <w:r>
        <w:rPr>
          <w:rFonts w:ascii="Times New Roman" w:cs="Times New Roman" w:eastAsia="Times New Roman" w:hAnsi="Times New Roman"/>
          <w:sz w:val="20"/>
          <w:szCs w:val="20"/>
          <w:color w:val="auto"/>
        </w:rPr>
        <w:t>” for additional information.</w:t>
      </w:r>
    </w:p>
    <w:p>
      <w:pPr>
        <w:spacing w:after="0" w:line="39" w:lineRule="exact"/>
        <w:rPr>
          <w:rFonts w:ascii="Times New Roman" w:cs="Times New Roman" w:eastAsia="Times New Roman" w:hAnsi="Times New Roman"/>
          <w:sz w:val="26"/>
          <w:szCs w:val="26"/>
          <w:color w:val="auto"/>
          <w:vertAlign w:val="superscript"/>
        </w:rPr>
      </w:pPr>
    </w:p>
    <w:p>
      <w:pPr>
        <w:ind w:left="340" w:right="120" w:hanging="332"/>
        <w:spacing w:after="0" w:line="231" w:lineRule="auto"/>
        <w:tabs>
          <w:tab w:leader="none" w:pos="294"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and 2024, $200.0 million and $169.9 million, respectively, of the other asset-backed securities related to Structured Program transactions at fair value are subject to restrictions on transfer pursuant to the Company’s obligations as a “sponsor” under the U.S. Risk Retention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AFS securities with unrealized losses, aggregated by period of continuous unrealized loss,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4"/>
          </w:tcPr>
          <w:p>
            <w:pPr>
              <w:ind w:left="540"/>
              <w:spacing w:after="0" w:line="203" w:lineRule="exact"/>
              <w:rPr>
                <w:sz w:val="20"/>
                <w:szCs w:val="20"/>
                <w:color w:val="auto"/>
              </w:rPr>
            </w:pPr>
            <w:r>
              <w:rPr>
                <w:rFonts w:ascii="Times New Roman" w:cs="Times New Roman" w:eastAsia="Times New Roman" w:hAnsi="Times New Roman"/>
                <w:sz w:val="20"/>
                <w:szCs w:val="20"/>
                <w:b w:val="1"/>
                <w:bCs w:val="1"/>
                <w:color w:val="auto"/>
              </w:rPr>
              <w:t>Less than</w:t>
            </w:r>
          </w:p>
        </w:tc>
        <w:tc>
          <w:tcPr>
            <w:tcW w:w="2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4"/>
          </w:tcPr>
          <w:p>
            <w:pPr>
              <w:ind w:left="500"/>
              <w:spacing w:after="0" w:line="203" w:lineRule="exact"/>
              <w:rPr>
                <w:sz w:val="20"/>
                <w:szCs w:val="20"/>
                <w:color w:val="auto"/>
              </w:rPr>
            </w:pPr>
            <w:r>
              <w:rPr>
                <w:rFonts w:ascii="Times New Roman" w:cs="Times New Roman" w:eastAsia="Times New Roman" w:hAnsi="Times New Roman"/>
                <w:sz w:val="20"/>
                <w:szCs w:val="20"/>
                <w:b w:val="1"/>
                <w:bCs w:val="1"/>
                <w:color w:val="auto"/>
              </w:rPr>
              <w:t>12 months</w:t>
            </w:r>
          </w:p>
        </w:tc>
        <w:tc>
          <w:tcPr>
            <w:tcW w:w="22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3"/>
            <w:vMerge w:val="restart"/>
          </w:tcPr>
          <w:p>
            <w:pPr>
              <w:jc w:val="right"/>
              <w:ind w:right="883"/>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4"/>
          </w:tcPr>
          <w:p>
            <w:pPr>
              <w:ind w:left="540"/>
              <w:spacing w:after="0"/>
              <w:rPr>
                <w:sz w:val="20"/>
                <w:szCs w:val="20"/>
                <w:color w:val="auto"/>
              </w:rPr>
            </w:pPr>
            <w:r>
              <w:rPr>
                <w:rFonts w:ascii="Times New Roman" w:cs="Times New Roman" w:eastAsia="Times New Roman" w:hAnsi="Times New Roman"/>
                <w:sz w:val="20"/>
                <w:szCs w:val="20"/>
                <w:b w:val="1"/>
                <w:bCs w:val="1"/>
                <w:color w:val="auto"/>
              </w:rPr>
              <w:t>12 months</w:t>
            </w:r>
          </w:p>
        </w:tc>
        <w:tc>
          <w:tcPr>
            <w:tcW w:w="220" w:type="dxa"/>
            <w:vAlign w:val="bottom"/>
          </w:tcPr>
          <w:p>
            <w:pPr>
              <w:spacing w:after="0"/>
              <w:rPr>
                <w:sz w:val="22"/>
                <w:szCs w:val="22"/>
                <w:color w:val="auto"/>
              </w:rPr>
            </w:pPr>
          </w:p>
        </w:tc>
        <w:tc>
          <w:tcPr>
            <w:tcW w:w="2280" w:type="dxa"/>
            <w:vAlign w:val="bottom"/>
            <w:gridSpan w:val="4"/>
          </w:tcPr>
          <w:p>
            <w:pPr>
              <w:ind w:left="580"/>
              <w:spacing w:after="0"/>
              <w:rPr>
                <w:sz w:val="20"/>
                <w:szCs w:val="20"/>
                <w:color w:val="auto"/>
              </w:rPr>
            </w:pPr>
            <w:r>
              <w:rPr>
                <w:rFonts w:ascii="Times New Roman" w:cs="Times New Roman" w:eastAsia="Times New Roman" w:hAnsi="Times New Roman"/>
                <w:sz w:val="20"/>
                <w:szCs w:val="20"/>
                <w:b w:val="1"/>
                <w:bCs w:val="1"/>
                <w:color w:val="auto"/>
              </w:rPr>
              <w:t>or longer</w:t>
            </w:r>
          </w:p>
        </w:tc>
        <w:tc>
          <w:tcPr>
            <w:tcW w:w="220" w:type="dxa"/>
            <w:vAlign w:val="bottom"/>
          </w:tcPr>
          <w:p>
            <w:pPr>
              <w:spacing w:after="0"/>
              <w:rPr>
                <w:sz w:val="22"/>
                <w:szCs w:val="22"/>
                <w:color w:val="auto"/>
              </w:rPr>
            </w:pPr>
          </w:p>
        </w:tc>
        <w:tc>
          <w:tcPr>
            <w:tcW w:w="21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0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3"/>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0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3"/>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2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20"/>
                <w:szCs w:val="20"/>
                <w:color w:val="auto"/>
              </w:rPr>
              <w:t>U.S. agency residential mortgage-backed</w:t>
            </w:r>
          </w:p>
        </w:tc>
        <w:tc>
          <w:tcPr>
            <w:tcW w:w="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20,017</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181,150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(32,030)</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201,167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(32,296)</w:t>
            </w: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Times New Roman" w:cs="Times New Roman" w:eastAsia="Times New Roman" w:hAnsi="Times New Roman"/>
                <w:sz w:val="20"/>
                <w:szCs w:val="20"/>
                <w:color w:val="auto"/>
              </w:rPr>
              <w:t>Other asset-backed securities related to</w:t>
            </w: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95,494</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23,719</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119,213</w:t>
            </w:r>
          </w:p>
        </w:tc>
        <w:tc>
          <w:tcPr>
            <w:tcW w:w="2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(1,367)</w:t>
            </w:r>
          </w:p>
        </w:tc>
        <w:tc>
          <w:tcPr>
            <w:tcW w:w="0" w:type="dxa"/>
            <w:vAlign w:val="bottom"/>
          </w:tcPr>
          <w:p>
            <w:pPr>
              <w:spacing w:after="0"/>
              <w:rPr>
                <w:sz w:val="1"/>
                <w:szCs w:val="1"/>
                <w:color w:val="auto"/>
              </w:rPr>
            </w:pPr>
          </w:p>
        </w:tc>
      </w:tr>
      <w:tr>
        <w:trPr>
          <w:trHeight w:val="257"/>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Structured Program transactions</w:t>
            </w: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U.S. agency securities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73,862</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73,862</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(10,602)</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1,874</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36,167</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38,041</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(4,961)</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Municipal securities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2,606</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2,606</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securities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1,610</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9,544</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11,154</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0" w:type="dxa"/>
            <w:vAlign w:val="bottom"/>
          </w:tcPr>
          <w:p>
            <w:pPr>
              <w:spacing w:after="0"/>
              <w:rPr>
                <w:sz w:val="1"/>
                <w:szCs w:val="1"/>
                <w:color w:val="auto"/>
              </w:rPr>
            </w:pPr>
          </w:p>
        </w:tc>
      </w:tr>
      <w:tr>
        <w:trPr>
          <w:trHeight w:val="275"/>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securities with unrealized losses</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118,995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327,048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(48,900)</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446,043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(50,215)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ind w:left="540"/>
              <w:spacing w:after="0" w:line="189" w:lineRule="exact"/>
              <w:rPr>
                <w:sz w:val="20"/>
                <w:szCs w:val="20"/>
                <w:color w:val="auto"/>
              </w:rPr>
            </w:pPr>
            <w:r>
              <w:rPr>
                <w:rFonts w:ascii="Times New Roman" w:cs="Times New Roman" w:eastAsia="Times New Roman" w:hAnsi="Times New Roman"/>
                <w:sz w:val="20"/>
                <w:szCs w:val="20"/>
                <w:b w:val="1"/>
                <w:bCs w:val="1"/>
                <w:color w:val="auto"/>
              </w:rPr>
              <w:t>Less than</w:t>
            </w:r>
          </w:p>
        </w:tc>
        <w:tc>
          <w:tcPr>
            <w:tcW w:w="220" w:type="dxa"/>
            <w:vAlign w:val="bottom"/>
          </w:tcPr>
          <w:p>
            <w:pPr>
              <w:spacing w:after="0"/>
              <w:rPr>
                <w:sz w:val="16"/>
                <w:szCs w:val="16"/>
                <w:color w:val="auto"/>
              </w:rPr>
            </w:pPr>
          </w:p>
        </w:tc>
        <w:tc>
          <w:tcPr>
            <w:tcW w:w="2280" w:type="dxa"/>
            <w:vAlign w:val="bottom"/>
            <w:gridSpan w:val="4"/>
          </w:tcPr>
          <w:p>
            <w:pPr>
              <w:ind w:left="500"/>
              <w:spacing w:after="0" w:line="189" w:lineRule="exact"/>
              <w:rPr>
                <w:sz w:val="20"/>
                <w:szCs w:val="20"/>
                <w:color w:val="auto"/>
              </w:rPr>
            </w:pPr>
            <w:r>
              <w:rPr>
                <w:rFonts w:ascii="Times New Roman" w:cs="Times New Roman" w:eastAsia="Times New Roman" w:hAnsi="Times New Roman"/>
                <w:sz w:val="20"/>
                <w:szCs w:val="20"/>
                <w:b w:val="1"/>
                <w:bCs w:val="1"/>
                <w:color w:val="auto"/>
              </w:rPr>
              <w:t>12 months</w:t>
            </w:r>
          </w:p>
        </w:tc>
        <w:tc>
          <w:tcPr>
            <w:tcW w:w="220" w:type="dxa"/>
            <w:vAlign w:val="bottom"/>
          </w:tcPr>
          <w:p>
            <w:pPr>
              <w:spacing w:after="0"/>
              <w:rPr>
                <w:sz w:val="16"/>
                <w:szCs w:val="16"/>
                <w:color w:val="auto"/>
              </w:rPr>
            </w:pPr>
          </w:p>
        </w:tc>
        <w:tc>
          <w:tcPr>
            <w:tcW w:w="2160" w:type="dxa"/>
            <w:vAlign w:val="bottom"/>
            <w:gridSpan w:val="3"/>
            <w:vMerge w:val="restart"/>
          </w:tcPr>
          <w:p>
            <w:pPr>
              <w:jc w:val="right"/>
              <w:ind w:right="883"/>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4"/>
          </w:tcPr>
          <w:p>
            <w:pPr>
              <w:ind w:left="540"/>
              <w:spacing w:after="0"/>
              <w:rPr>
                <w:sz w:val="20"/>
                <w:szCs w:val="20"/>
                <w:color w:val="auto"/>
              </w:rPr>
            </w:pPr>
            <w:r>
              <w:rPr>
                <w:rFonts w:ascii="Times New Roman" w:cs="Times New Roman" w:eastAsia="Times New Roman" w:hAnsi="Times New Roman"/>
                <w:sz w:val="20"/>
                <w:szCs w:val="20"/>
                <w:b w:val="1"/>
                <w:bCs w:val="1"/>
                <w:color w:val="auto"/>
              </w:rPr>
              <w:t>12 months</w:t>
            </w:r>
          </w:p>
        </w:tc>
        <w:tc>
          <w:tcPr>
            <w:tcW w:w="220" w:type="dxa"/>
            <w:vAlign w:val="bottom"/>
          </w:tcPr>
          <w:p>
            <w:pPr>
              <w:spacing w:after="0"/>
              <w:rPr>
                <w:sz w:val="22"/>
                <w:szCs w:val="22"/>
                <w:color w:val="auto"/>
              </w:rPr>
            </w:pPr>
          </w:p>
        </w:tc>
        <w:tc>
          <w:tcPr>
            <w:tcW w:w="2280" w:type="dxa"/>
            <w:vAlign w:val="bottom"/>
            <w:gridSpan w:val="4"/>
          </w:tcPr>
          <w:p>
            <w:pPr>
              <w:ind w:left="580"/>
              <w:spacing w:after="0"/>
              <w:rPr>
                <w:sz w:val="20"/>
                <w:szCs w:val="20"/>
                <w:color w:val="auto"/>
              </w:rPr>
            </w:pPr>
            <w:r>
              <w:rPr>
                <w:rFonts w:ascii="Times New Roman" w:cs="Times New Roman" w:eastAsia="Times New Roman" w:hAnsi="Times New Roman"/>
                <w:sz w:val="20"/>
                <w:szCs w:val="20"/>
                <w:b w:val="1"/>
                <w:bCs w:val="1"/>
                <w:color w:val="auto"/>
              </w:rPr>
              <w:t>or longer</w:t>
            </w:r>
          </w:p>
        </w:tc>
        <w:tc>
          <w:tcPr>
            <w:tcW w:w="220" w:type="dxa"/>
            <w:vAlign w:val="bottom"/>
          </w:tcPr>
          <w:p>
            <w:pPr>
              <w:spacing w:after="0"/>
              <w:rPr>
                <w:sz w:val="22"/>
                <w:szCs w:val="22"/>
                <w:color w:val="auto"/>
              </w:rPr>
            </w:pPr>
          </w:p>
        </w:tc>
        <w:tc>
          <w:tcPr>
            <w:tcW w:w="21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0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3"/>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0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43"/>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23"/>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20"/>
                <w:szCs w:val="20"/>
                <w:color w:val="auto"/>
              </w:rPr>
              <w:t>Senior asset-backed securities related to</w:t>
            </w:r>
          </w:p>
        </w:tc>
        <w:tc>
          <w:tcPr>
            <w:tcW w:w="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334,564</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334,564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Structured Program transactions</w:t>
            </w: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line="189" w:lineRule="exact"/>
              <w:rPr>
                <w:sz w:val="20"/>
                <w:szCs w:val="20"/>
                <w:color w:val="auto"/>
              </w:rPr>
            </w:pPr>
            <w:r>
              <w:rPr>
                <w:rFonts w:ascii="Times New Roman" w:cs="Times New Roman" w:eastAsia="Times New Roman" w:hAnsi="Times New Roman"/>
                <w:sz w:val="20"/>
                <w:szCs w:val="20"/>
                <w:color w:val="auto"/>
              </w:rPr>
              <w:t>U.S. agency residential mortgage-backed</w:t>
            </w: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34,168</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185,405</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(42,461)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219,573</w:t>
            </w:r>
          </w:p>
        </w:tc>
        <w:tc>
          <w:tcPr>
            <w:tcW w:w="2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(43,243)</w:t>
            </w:r>
          </w:p>
        </w:tc>
        <w:tc>
          <w:tcPr>
            <w:tcW w:w="0" w:type="dxa"/>
            <w:vAlign w:val="bottom"/>
          </w:tcPr>
          <w:p>
            <w:pPr>
              <w:spacing w:after="0"/>
              <w:rPr>
                <w:sz w:val="1"/>
                <w:szCs w:val="1"/>
                <w:color w:val="auto"/>
              </w:rPr>
            </w:pPr>
          </w:p>
        </w:tc>
      </w:tr>
      <w:tr>
        <w:trPr>
          <w:trHeight w:val="256"/>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w:t>
            </w: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20"/>
                <w:szCs w:val="20"/>
                <w:color w:val="auto"/>
              </w:rPr>
              <w:t>Other asset-backed securities related to</w:t>
            </w: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72,251</w:t>
            </w: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72,251</w:t>
            </w:r>
          </w:p>
        </w:tc>
        <w:tc>
          <w:tcPr>
            <w:tcW w:w="2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Structured Program transactions</w:t>
            </w: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 agency securities</w:t>
            </w: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75,946</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75,946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(14,513)</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21,970</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32,298</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54,268</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(6,216)</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Municipal securities</w:t>
            </w: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2,539</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2,539</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securities</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1,638</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11,668</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13,306</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securities with unrealized losses</w:t>
            </w:r>
          </w:p>
        </w:tc>
        <w:tc>
          <w:tcPr>
            <w:tcW w:w="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464,591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(2,404)</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307,856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(64,154)</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772,447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(66,558)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 majority of securities in an unrealized loss position as of both December 31, 2025 and 2024 was comprised of U.S. agency-backed securities and mortgage-backed securities. Management considers these securities to be of the highest credit quality and rating given the guarantee of principal and interest by certain U.S. government agencies or government-sponsored agencies. Most of the remaining securities in an unrealized loss position in the Company’s AFS investment portfolio at December 31, 2025 were rated investment grade. Substantially all of these unrealized losses were caused by interest rate increases. Additionally, the Company does not intend to sell the securities in loss positions, nor is it more likely than not that it will be required to sell the securities prior to recovery of the amortized cost basis. For a description of management’s quarterly evaluation of AFS securities in an unrealized loss position, see “</w:t>
      </w:r>
      <w:r>
        <w:rPr>
          <w:rFonts w:ascii="Times New Roman" w:cs="Times New Roman" w:eastAsia="Times New Roman" w:hAnsi="Times New Roman"/>
          <w:sz w:val="20"/>
          <w:szCs w:val="20"/>
          <w:i w:val="1"/>
          <w:iCs w:val="1"/>
          <w:color w:val="auto"/>
        </w:rPr>
        <w:t>Note 1. 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activity in the allowance for credit losses for AFS securities, by security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0" w:type="dxa"/>
            <w:vAlign w:val="bottom"/>
          </w:tcPr>
          <w:p>
            <w:pPr>
              <w:spacing w:after="0"/>
              <w:rPr>
                <w:sz w:val="1"/>
                <w:szCs w:val="1"/>
                <w:color w:val="auto"/>
              </w:rPr>
            </w:pPr>
          </w:p>
        </w:tc>
      </w:tr>
      <w:tr>
        <w:trPr>
          <w:trHeight w:val="267"/>
        </w:trPr>
        <w:tc>
          <w:tcPr>
            <w:tcW w:w="7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asset-backed securities related to Structured Program transactions:</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Allowance for credit losses, beginning of period</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3,527</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loss expense for securities available for sale</w:t>
            </w:r>
          </w:p>
        </w:tc>
        <w:tc>
          <w:tcPr>
            <w:tcW w:w="3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566</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20"/>
                <w:szCs w:val="20"/>
                <w:color w:val="auto"/>
                <w:w w:val="97"/>
              </w:rPr>
              <w:t>3,527</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Allowance for credit losses, end of period</w:t>
            </w: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4,093</w:t>
            </w:r>
          </w:p>
        </w:tc>
        <w:tc>
          <w:tcPr>
            <w:tcW w:w="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20"/>
                <w:szCs w:val="20"/>
                <w:color w:val="auto"/>
                <w:w w:val="97"/>
              </w:rPr>
              <w:t>3,527</w:t>
            </w:r>
          </w:p>
        </w:tc>
        <w:tc>
          <w:tcPr>
            <w:tcW w:w="0" w:type="dxa"/>
            <w:vAlign w:val="bottom"/>
          </w:tcPr>
          <w:p>
            <w:pPr>
              <w:spacing w:after="0"/>
              <w:rPr>
                <w:sz w:val="1"/>
                <w:szCs w:val="1"/>
                <w:color w:val="auto"/>
              </w:rPr>
            </w:pPr>
          </w:p>
        </w:tc>
      </w:tr>
      <w:tr>
        <w:trPr>
          <w:trHeight w:val="24"/>
        </w:trPr>
        <w:tc>
          <w:tcPr>
            <w:tcW w:w="74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3"/>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There was no activity in the allowance for credit losses for AFS securities during 2023.</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The contractual maturities of AFS securities were as follows:</w:t>
            </w: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3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center"/>
              <w:ind w:right="221"/>
              <w:spacing w:after="0" w:line="183" w:lineRule="exact"/>
              <w:rPr>
                <w:sz w:val="20"/>
                <w:szCs w:val="20"/>
                <w:color w:val="auto"/>
              </w:rPr>
            </w:pPr>
            <w:r>
              <w:rPr>
                <w:rFonts w:ascii="Times New Roman" w:cs="Times New Roman" w:eastAsia="Times New Roman" w:hAnsi="Times New Roman"/>
                <w:sz w:val="20"/>
                <w:szCs w:val="20"/>
                <w:b w:val="1"/>
                <w:bCs w:val="1"/>
                <w:color w:val="auto"/>
                <w:w w:val="96"/>
              </w:rPr>
              <w:t>Weighted-</w:t>
            </w:r>
          </w:p>
        </w:tc>
        <w:tc>
          <w:tcPr>
            <w:tcW w:w="0" w:type="dxa"/>
            <w:vAlign w:val="bottom"/>
          </w:tcPr>
          <w:p>
            <w:pPr>
              <w:spacing w:after="0"/>
              <w:rPr>
                <w:sz w:val="1"/>
                <w:szCs w:val="1"/>
                <w:color w:val="auto"/>
              </w:rPr>
            </w:pPr>
          </w:p>
        </w:tc>
      </w:tr>
      <w:tr>
        <w:trPr>
          <w:trHeight w:val="20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80" w:type="dxa"/>
            <w:vAlign w:val="bottom"/>
          </w:tcPr>
          <w:p>
            <w:pPr>
              <w:spacing w:after="0"/>
              <w:rPr>
                <w:sz w:val="17"/>
                <w:szCs w:val="17"/>
                <w:color w:val="auto"/>
              </w:rPr>
            </w:pPr>
          </w:p>
        </w:tc>
        <w:tc>
          <w:tcPr>
            <w:tcW w:w="170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Amortized Cost</w:t>
            </w:r>
          </w:p>
        </w:tc>
        <w:tc>
          <w:tcPr>
            <w:tcW w:w="440" w:type="dxa"/>
            <w:vAlign w:val="bottom"/>
          </w:tcPr>
          <w:p>
            <w:pPr>
              <w:spacing w:after="0"/>
              <w:rPr>
                <w:sz w:val="17"/>
                <w:szCs w:val="17"/>
                <w:color w:val="auto"/>
              </w:rPr>
            </w:pPr>
          </w:p>
        </w:tc>
        <w:tc>
          <w:tcPr>
            <w:tcW w:w="154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360" w:type="dxa"/>
            <w:vAlign w:val="bottom"/>
          </w:tcPr>
          <w:p>
            <w:pPr>
              <w:spacing w:after="0"/>
              <w:rPr>
                <w:sz w:val="17"/>
                <w:szCs w:val="17"/>
                <w:color w:val="auto"/>
              </w:rPr>
            </w:pPr>
          </w:p>
        </w:tc>
        <w:tc>
          <w:tcPr>
            <w:tcW w:w="1500" w:type="dxa"/>
            <w:vAlign w:val="bottom"/>
          </w:tcPr>
          <w:p>
            <w:pPr>
              <w:jc w:val="center"/>
              <w:ind w:right="221"/>
              <w:spacing w:after="0" w:line="203"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56"/>
        </w:trPr>
        <w:tc>
          <w:tcPr>
            <w:tcW w:w="532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21"/>
              <w:spacing w:after="0" w:line="256" w:lineRule="exact"/>
              <w:rPr>
                <w:sz w:val="20"/>
                <w:szCs w:val="20"/>
                <w:color w:val="auto"/>
              </w:rPr>
            </w:pPr>
            <w:r>
              <w:rPr>
                <w:rFonts w:ascii="Times New Roman" w:cs="Times New Roman" w:eastAsia="Times New Roman" w:hAnsi="Times New Roman"/>
                <w:sz w:val="20"/>
                <w:szCs w:val="20"/>
                <w:b w:val="1"/>
                <w:bCs w:val="1"/>
                <w:color w:val="auto"/>
                <w:w w:val="94"/>
              </w:rPr>
              <w:t xml:space="preserve">Yield </w:t>
            </w:r>
            <w:r>
              <w:rPr>
                <w:rFonts w:ascii="Times New Roman" w:cs="Times New Roman" w:eastAsia="Times New Roman" w:hAnsi="Times New Roman"/>
                <w:sz w:val="25"/>
                <w:szCs w:val="25"/>
                <w:b w:val="1"/>
                <w:bCs w:val="1"/>
                <w:color w:val="auto"/>
                <w:w w:val="94"/>
                <w:vertAlign w:val="superscript"/>
              </w:rPr>
              <w:t>(1)</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Due after 1 year through 5 years:</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320" w:type="dxa"/>
            <w:vAlign w:val="bottom"/>
          </w:tcPr>
          <w:p>
            <w:pPr>
              <w:ind w:left="360"/>
              <w:spacing w:after="0" w:line="193" w:lineRule="exact"/>
              <w:rPr>
                <w:sz w:val="20"/>
                <w:szCs w:val="20"/>
                <w:color w:val="auto"/>
              </w:rPr>
            </w:pPr>
            <w:r>
              <w:rPr>
                <w:rFonts w:ascii="Times New Roman" w:cs="Times New Roman" w:eastAsia="Times New Roman" w:hAnsi="Times New Roman"/>
                <w:sz w:val="20"/>
                <w:szCs w:val="20"/>
                <w:color w:val="auto"/>
              </w:rPr>
              <w:t>Senior asset-backed securities related to Structured Program</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3,065,885</w:t>
            </w:r>
          </w:p>
        </w:tc>
        <w:tc>
          <w:tcPr>
            <w:tcW w:w="44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3,092,410</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3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transactions</w:t>
            </w:r>
          </w:p>
        </w:tc>
        <w:tc>
          <w:tcPr>
            <w:tcW w:w="38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320" w:type="dxa"/>
            <w:vAlign w:val="bottom"/>
            <w:shd w:val="clear" w:color="auto" w:fill="CCEEFF"/>
          </w:tcPr>
          <w:p>
            <w:pPr>
              <w:ind w:left="360"/>
              <w:spacing w:after="0" w:line="193" w:lineRule="exact"/>
              <w:rPr>
                <w:sz w:val="20"/>
                <w:szCs w:val="20"/>
                <w:color w:val="auto"/>
              </w:rPr>
            </w:pPr>
            <w:r>
              <w:rPr>
                <w:rFonts w:ascii="Times New Roman" w:cs="Times New Roman" w:eastAsia="Times New Roman" w:hAnsi="Times New Roman"/>
                <w:sz w:val="20"/>
                <w:szCs w:val="20"/>
                <w:color w:val="auto"/>
              </w:rPr>
              <w:t>Other asset-backed securities related to Structured Program</w:t>
            </w:r>
          </w:p>
        </w:tc>
        <w:tc>
          <w:tcPr>
            <w:tcW w:w="380" w:type="dxa"/>
            <w:vAlign w:val="bottom"/>
            <w:shd w:val="clear" w:color="auto" w:fill="CCEEFF"/>
          </w:tcPr>
          <w:p>
            <w:pPr>
              <w:spacing w:after="0"/>
              <w:rPr>
                <w:sz w:val="16"/>
                <w:szCs w:val="16"/>
                <w:color w:val="auto"/>
              </w:rPr>
            </w:pPr>
          </w:p>
        </w:tc>
        <w:tc>
          <w:tcPr>
            <w:tcW w:w="17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224,802</w:t>
            </w:r>
          </w:p>
        </w:tc>
        <w:tc>
          <w:tcPr>
            <w:tcW w:w="4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219,370</w:t>
            </w: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transactions</w:t>
            </w:r>
          </w:p>
        </w:tc>
        <w:tc>
          <w:tcPr>
            <w:tcW w:w="38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 agency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4,849</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4,787</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2,552</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2,403</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Municipal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458</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429</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U.S. agency residential mortgage-backed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127</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121</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securities</w:t>
            </w: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10,136</w:t>
            </w: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10,137</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Total due after 1 year through 5 years</w:t>
            </w:r>
          </w:p>
        </w:tc>
        <w:tc>
          <w:tcPr>
            <w:tcW w:w="3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3,308,809</w:t>
            </w:r>
          </w:p>
        </w:tc>
        <w:tc>
          <w:tcPr>
            <w:tcW w:w="4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3,329,657</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20"/>
                <w:szCs w:val="20"/>
                <w:color w:val="auto"/>
                <w:w w:val="98"/>
              </w:rPr>
              <w:t>6.66 %</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Due after 5 years through 10 years:</w:t>
            </w: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U.S. agency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35,472</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31,970</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 agency residential mortgage-backed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2,751</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2,669</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880</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779</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Municipal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154</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142</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Other securities</w:t>
            </w:r>
          </w:p>
        </w:tc>
        <w:tc>
          <w:tcPr>
            <w:tcW w:w="3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9,666</w:t>
            </w:r>
          </w:p>
        </w:tc>
        <w:tc>
          <w:tcPr>
            <w:tcW w:w="4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9,674</w:t>
            </w:r>
          </w:p>
        </w:tc>
        <w:tc>
          <w:tcPr>
            <w:tcW w:w="3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Total due after 5 years through 10 years</w:t>
            </w: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48,923</w:t>
            </w: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45,234</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20"/>
                <w:szCs w:val="20"/>
                <w:color w:val="auto"/>
                <w:w w:val="98"/>
              </w:rPr>
              <w:t>3.62 %</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Due after 10 years:</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 agency residential mortgage-backed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264,975</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233,271</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56,991</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52,415</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 agency securities</w:t>
            </w:r>
          </w:p>
        </w:tc>
        <w:tc>
          <w:tcPr>
            <w:tcW w:w="38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44,143</w:t>
            </w:r>
          </w:p>
        </w:tc>
        <w:tc>
          <w:tcPr>
            <w:tcW w:w="44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37,105</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Municipal securities</w:t>
            </w: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2,603</w:t>
            </w: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2,035</w:t>
            </w: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securities</w:t>
            </w: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7,336</w:t>
            </w: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6,992</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Total due after 10 years</w:t>
            </w:r>
          </w:p>
        </w:tc>
        <w:tc>
          <w:tcPr>
            <w:tcW w:w="3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376,048</w:t>
            </w:r>
          </w:p>
        </w:tc>
        <w:tc>
          <w:tcPr>
            <w:tcW w:w="4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331,818</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20"/>
                <w:szCs w:val="20"/>
                <w:color w:val="auto"/>
                <w:w w:val="98"/>
              </w:rPr>
              <w:t>3.09 %</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Total securities available for sale</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3,733,780</w:t>
            </w:r>
          </w:p>
        </w:tc>
        <w:tc>
          <w:tcPr>
            <w:tcW w:w="4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3,706,709</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20"/>
                <w:szCs w:val="20"/>
                <w:color w:val="auto"/>
                <w:w w:val="98"/>
              </w:rPr>
              <w:t>6.24 %</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weighted-average yield is computed using the average month-end amortized cost during the year ended December 31, 2025.</w:t>
      </w:r>
    </w:p>
    <w:p>
      <w:pPr>
        <w:spacing w:after="0" w:line="22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During 2024, the Company recognized proceeds of $30.1 million and gross realized gains of $114 thousand from sales of senior asset-backed securities related to Structured Program transactions. There were no sales of AFS securities during 2025 or 2023.</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Loans and Leases Held for Investment at Amortized Cost, Net of Allowance for Loan and Lease Losses</w:t>
      </w:r>
    </w:p>
    <w:p>
      <w:pPr>
        <w:spacing w:after="0" w:line="26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As of December 31, 2025, LendingClub recorded the majority of its loans and leases HFI at amortized cost. Other HFI loans and all HFS loans were recorded at fair value pursuant to the Company’s election of the fair value option.</w:t>
      </w:r>
    </w:p>
    <w:p>
      <w:pPr>
        <w:spacing w:after="0" w:line="200"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Accrued interest receivable is excluded from the amortized cost basis of loans and leases HFI and is reported within “Other assets” on the Balance Sheet. Net accrued interest receivable related to loans and leases HFI at amortized cost was $17.9 million and $30.4 million as of December 31, 2025 and 2024,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and Leases Held for Investment at Amortized Cost</w:t>
      </w:r>
    </w:p>
    <w:p>
      <w:pPr>
        <w:spacing w:after="0" w:line="247"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The Company defines its loans and leases HFI portfolio segments as (i) consumer and (ii) commercial. The following table presents the components of each portfolio segment by class of financing receivable: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40" w:type="dxa"/>
            <w:vAlign w:val="bottom"/>
            <w:tcBorders>
              <w:top w:val="single" w:sz="8" w:color="auto"/>
              <w:bottom w:val="single" w:sz="8" w:color="auto"/>
            </w:tcBorders>
          </w:tcPr>
          <w:p>
            <w:pPr>
              <w:spacing w:after="0"/>
              <w:rPr>
                <w:sz w:val="23"/>
                <w:szCs w:val="23"/>
                <w:color w:val="auto"/>
              </w:rPr>
            </w:pPr>
          </w:p>
        </w:tc>
        <w:tc>
          <w:tcPr>
            <w:tcW w:w="19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Unsecured personal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3,191,430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3,106,472</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Residential mortgages</w:t>
            </w:r>
          </w:p>
        </w:tc>
        <w:tc>
          <w:tcPr>
            <w:tcW w:w="1380" w:type="dxa"/>
            <w:vAlign w:val="bottom"/>
          </w:tcPr>
          <w:p>
            <w:pPr>
              <w:spacing w:after="0"/>
              <w:rPr>
                <w:sz w:val="22"/>
                <w:szCs w:val="22"/>
                <w:color w:val="auto"/>
              </w:rPr>
            </w:pPr>
          </w:p>
        </w:tc>
        <w:tc>
          <w:tcPr>
            <w:tcW w:w="1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151,073</w:t>
            </w:r>
          </w:p>
        </w:tc>
        <w:tc>
          <w:tcPr>
            <w:tcW w:w="2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172,711</w:t>
            </w:r>
          </w:p>
        </w:tc>
      </w:tr>
      <w:tr>
        <w:trPr>
          <w:trHeight w:val="257"/>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Secured consumer</w:t>
            </w:r>
          </w:p>
        </w:tc>
        <w:tc>
          <w:tcPr>
            <w:tcW w:w="138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261,045</w:t>
            </w:r>
          </w:p>
        </w:tc>
        <w:tc>
          <w:tcPr>
            <w:tcW w:w="24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230,232</w:t>
            </w:r>
          </w:p>
        </w:tc>
      </w:tr>
      <w:tr>
        <w:trPr>
          <w:trHeight w:val="250"/>
        </w:trPr>
        <w:tc>
          <w:tcPr>
            <w:tcW w:w="5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Total consumer loans held for investment</w:t>
            </w:r>
          </w:p>
        </w:tc>
        <w:tc>
          <w:tcPr>
            <w:tcW w:w="1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3,603,548</w:t>
            </w: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3,509,415</w:t>
            </w:r>
          </w:p>
        </w:tc>
      </w:tr>
      <w:tr>
        <w:trPr>
          <w:trHeight w:val="250"/>
        </w:trPr>
        <w:tc>
          <w:tcPr>
            <w:tcW w:w="57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Equipment finance </w:t>
            </w:r>
            <w:r>
              <w:rPr>
                <w:rFonts w:ascii="Times New Roman" w:cs="Times New Roman" w:eastAsia="Times New Roman" w:hAnsi="Times New Roman"/>
                <w:sz w:val="25"/>
                <w:szCs w:val="25"/>
                <w:color w:val="auto"/>
                <w:vertAlign w:val="superscript"/>
              </w:rPr>
              <w:t>(1)</w:t>
            </w:r>
          </w:p>
        </w:tc>
        <w:tc>
          <w:tcPr>
            <w:tcW w:w="13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39,757</w:t>
            </w: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64,232</w:t>
            </w:r>
          </w:p>
        </w:tc>
      </w:tr>
      <w:tr>
        <w:trPr>
          <w:trHeight w:val="257"/>
        </w:trPr>
        <w:tc>
          <w:tcPr>
            <w:tcW w:w="57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Commercial real estate </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22"/>
                <w:szCs w:val="22"/>
                <w:color w:val="auto"/>
              </w:rPr>
            </w:pPr>
          </w:p>
        </w:tc>
        <w:tc>
          <w:tcPr>
            <w:tcW w:w="19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472,489</w:t>
            </w:r>
          </w:p>
        </w:tc>
        <w:tc>
          <w:tcPr>
            <w:tcW w:w="2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373,785</w:t>
            </w:r>
          </w:p>
        </w:tc>
      </w:tr>
      <w:tr>
        <w:trPr>
          <w:trHeight w:val="256"/>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Commercial and industrial</w:t>
            </w:r>
          </w:p>
        </w:tc>
        <w:tc>
          <w:tcPr>
            <w:tcW w:w="138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157,018</w:t>
            </w:r>
          </w:p>
        </w:tc>
        <w:tc>
          <w:tcPr>
            <w:tcW w:w="24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178,386</w:t>
            </w:r>
          </w:p>
        </w:tc>
      </w:tr>
      <w:tr>
        <w:trPr>
          <w:trHeight w:val="250"/>
        </w:trPr>
        <w:tc>
          <w:tcPr>
            <w:tcW w:w="5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Total commercial loans and leases held for investment</w:t>
            </w:r>
          </w:p>
        </w:tc>
        <w:tc>
          <w:tcPr>
            <w:tcW w:w="1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669,264</w:t>
            </w: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616,403</w:t>
            </w:r>
          </w:p>
        </w:tc>
      </w:tr>
      <w:tr>
        <w:trPr>
          <w:trHeight w:val="275"/>
        </w:trPr>
        <w:tc>
          <w:tcPr>
            <w:tcW w:w="5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loans and leases held for investment</w:t>
            </w:r>
          </w:p>
        </w:tc>
        <w:tc>
          <w:tcPr>
            <w:tcW w:w="138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4,272,812</w:t>
            </w:r>
          </w:p>
        </w:tc>
        <w:tc>
          <w:tcPr>
            <w:tcW w:w="2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4,125,818</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(275,743)</w:t>
            </w: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(236,734)</w:t>
            </w:r>
          </w:p>
        </w:tc>
      </w:tr>
      <w:tr>
        <w:trPr>
          <w:trHeight w:val="275"/>
        </w:trPr>
        <w:tc>
          <w:tcPr>
            <w:tcW w:w="570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Loans and leases held for investment, net </w:t>
            </w:r>
            <w:r>
              <w:rPr>
                <w:rFonts w:ascii="Times New Roman" w:cs="Times New Roman" w:eastAsia="Times New Roman" w:hAnsi="Times New Roman"/>
                <w:sz w:val="25"/>
                <w:szCs w:val="25"/>
                <w:color w:val="auto"/>
                <w:vertAlign w:val="superscript"/>
              </w:rPr>
              <w:t>(2)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3,997,069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3,889,084</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Comprised of sales-type leases for equipment. See “</w:t>
      </w:r>
      <w:r>
        <w:rPr>
          <w:rFonts w:ascii="Times New Roman" w:cs="Times New Roman" w:eastAsia="Times New Roman" w:hAnsi="Times New Roman"/>
          <w:sz w:val="20"/>
          <w:szCs w:val="20"/>
          <w:i w:val="1"/>
          <w:iCs w:val="1"/>
          <w:color w:val="auto"/>
        </w:rPr>
        <w:t>Note 17. Leases</w:t>
      </w:r>
      <w:r>
        <w:rPr>
          <w:rFonts w:ascii="Times New Roman" w:cs="Times New Roman" w:eastAsia="Times New Roman" w:hAnsi="Times New Roman"/>
          <w:sz w:val="20"/>
          <w:szCs w:val="20"/>
          <w:color w:val="auto"/>
        </w:rPr>
        <w:t>” for additional information.</w:t>
      </w:r>
    </w:p>
    <w:p>
      <w:pPr>
        <w:ind w:left="420" w:right="200" w:hanging="412"/>
        <w:spacing w:after="0" w:line="205" w:lineRule="auto"/>
        <w:tabs>
          <w:tab w:leader="none" w:pos="293" w:val="left"/>
        </w:tabs>
        <w:numPr>
          <w:ilvl w:val="0"/>
          <w:numId w:val="5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$286.8 million and $160.1 million in loans originated through the Small Business Association (SBA) as of December 31, 2025 and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the ALLL: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60" w:type="dxa"/>
            <w:vAlign w:val="bottom"/>
            <w:tcBorders>
              <w:top w:val="single" w:sz="8" w:color="auto"/>
              <w:bottom w:val="single" w:sz="8" w:color="auto"/>
            </w:tcBorders>
          </w:tcPr>
          <w:p>
            <w:pPr>
              <w:spacing w:after="0"/>
              <w:rPr>
                <w:sz w:val="23"/>
                <w:szCs w:val="23"/>
                <w:color w:val="auto"/>
              </w:rPr>
            </w:pPr>
          </w:p>
        </w:tc>
        <w:tc>
          <w:tcPr>
            <w:tcW w:w="1720" w:type="dxa"/>
            <w:vAlign w:val="bottom"/>
            <w:tcBorders>
              <w:top w:val="single" w:sz="8" w:color="auto"/>
              <w:bottom w:val="single" w:sz="8" w:color="auto"/>
            </w:tcBorders>
          </w:tcPr>
          <w:p>
            <w:pPr>
              <w:spacing w:after="0"/>
              <w:rPr>
                <w:sz w:val="23"/>
                <w:szCs w:val="23"/>
                <w:color w:val="auto"/>
              </w:rPr>
            </w:pPr>
          </w:p>
        </w:tc>
        <w:tc>
          <w:tcPr>
            <w:tcW w:w="19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top w:val="single" w:sz="8" w:color="auto"/>
              <w:bottom w:val="single" w:sz="8" w:color="auto"/>
            </w:tcBorders>
          </w:tcPr>
          <w:p>
            <w:pPr>
              <w:spacing w:after="0"/>
              <w:rPr>
                <w:sz w:val="23"/>
                <w:szCs w:val="23"/>
                <w:color w:val="auto"/>
              </w:rPr>
            </w:pPr>
          </w:p>
        </w:tc>
        <w:tc>
          <w:tcPr>
            <w:tcW w:w="1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06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Gross allowance for loan and lease losses </w:t>
            </w:r>
            <w:r>
              <w:rPr>
                <w:rFonts w:ascii="Times New Roman" w:cs="Times New Roman" w:eastAsia="Times New Roman" w:hAnsi="Times New Roman"/>
                <w:sz w:val="25"/>
                <w:szCs w:val="25"/>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312,667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285,686</w:t>
            </w:r>
          </w:p>
        </w:tc>
      </w:tr>
      <w:tr>
        <w:trPr>
          <w:trHeight w:val="256"/>
        </w:trPr>
        <w:tc>
          <w:tcPr>
            <w:tcW w:w="5060" w:type="dxa"/>
            <w:vAlign w:val="bottom"/>
            <w:tcBorders>
              <w:bottom w:val="single" w:sz="8" w:color="auto"/>
            </w:tcBorders>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Recovery asset value </w:t>
            </w:r>
            <w:r>
              <w:rPr>
                <w:rFonts w:ascii="Times New Roman" w:cs="Times New Roman" w:eastAsia="Times New Roman" w:hAnsi="Times New Roman"/>
                <w:sz w:val="25"/>
                <w:szCs w:val="25"/>
                <w:color w:val="auto"/>
                <w:vertAlign w:val="superscript"/>
              </w:rPr>
              <w:t>(2)</w:t>
            </w:r>
          </w:p>
        </w:tc>
        <w:tc>
          <w:tcPr>
            <w:tcW w:w="1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(36,924)</w:t>
            </w: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w w:val="99"/>
              </w:rPr>
              <w:t>(48,952)</w:t>
            </w:r>
          </w:p>
        </w:tc>
      </w:tr>
      <w:tr>
        <w:trPr>
          <w:trHeight w:val="275"/>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275,743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236,734</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allowance for future estimated net charge-offs on existing portfolio balances.</w:t>
      </w:r>
    </w:p>
    <w:p>
      <w:pPr>
        <w:spacing w:after="0" w:line="47"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negative allowance for expected recoveries of amounts previously charged-off.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38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Consumer</w:t>
            </w:r>
          </w:p>
        </w:tc>
        <w:tc>
          <w:tcPr>
            <w:tcW w:w="26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Commercial</w:t>
            </w:r>
          </w:p>
        </w:tc>
        <w:tc>
          <w:tcPr>
            <w:tcW w:w="40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w:t>
            </w: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3,603,548</w:t>
            </w: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669,264</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4,272,812</w:t>
            </w:r>
          </w:p>
        </w:tc>
      </w:tr>
      <w:tr>
        <w:trPr>
          <w:trHeight w:val="88"/>
        </w:trPr>
        <w:tc>
          <w:tcPr>
            <w:tcW w:w="4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258,811</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16,932</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275,743</w:t>
            </w:r>
          </w:p>
        </w:tc>
      </w:tr>
      <w:tr>
        <w:trPr>
          <w:trHeight w:val="257"/>
        </w:trPr>
        <w:tc>
          <w:tcPr>
            <w:tcW w:w="442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Allowance ratio </w:t>
            </w:r>
            <w:r>
              <w:rPr>
                <w:rFonts w:ascii="Times New Roman" w:cs="Times New Roman" w:eastAsia="Times New Roman" w:hAnsi="Times New Roman"/>
                <w:sz w:val="25"/>
                <w:szCs w:val="25"/>
                <w:color w:val="auto"/>
                <w:vertAlign w:val="superscript"/>
              </w:rPr>
              <w:t>(1)</w:t>
            </w:r>
          </w:p>
        </w:tc>
        <w:tc>
          <w:tcPr>
            <w:tcW w:w="1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7.2 %</w:t>
            </w: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94"/>
        </w:trPr>
        <w:tc>
          <w:tcPr>
            <w:tcW w:w="44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allowance for loan and lease losses</w:t>
            </w: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295,735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16,932</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312,667</w:t>
            </w:r>
          </w:p>
        </w:tc>
      </w:tr>
      <w:tr>
        <w:trPr>
          <w:trHeight w:val="257"/>
        </w:trPr>
        <w:tc>
          <w:tcPr>
            <w:tcW w:w="4420" w:type="dxa"/>
            <w:vAlign w:val="bottom"/>
            <w:tcBorders>
              <w:bottom w:val="single" w:sz="8" w:color="auto"/>
            </w:tcBorders>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Gross allowance ratio </w:t>
            </w:r>
            <w:r>
              <w:rPr>
                <w:rFonts w:ascii="Times New Roman" w:cs="Times New Roman" w:eastAsia="Times New Roman" w:hAnsi="Times New Roman"/>
                <w:sz w:val="25"/>
                <w:szCs w:val="25"/>
                <w:color w:val="auto"/>
                <w:vertAlign w:val="superscript"/>
              </w:rPr>
              <w:t>(1)</w:t>
            </w:r>
          </w:p>
        </w:tc>
        <w:tc>
          <w:tcPr>
            <w:tcW w:w="13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8.2 %</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7.3 %</w:t>
            </w: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380" w:type="dxa"/>
            <w:vAlign w:val="bottom"/>
            <w:tcBorders>
              <w:top w:val="single" w:sz="8" w:color="auto"/>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Consumer</w:t>
            </w:r>
          </w:p>
        </w:tc>
        <w:tc>
          <w:tcPr>
            <w:tcW w:w="26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Commercial</w:t>
            </w:r>
          </w:p>
        </w:tc>
        <w:tc>
          <w:tcPr>
            <w:tcW w:w="40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w:t>
            </w: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3,509,415</w:t>
            </w: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616,403</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4,125,818</w:t>
            </w:r>
          </w:p>
        </w:tc>
      </w:tr>
      <w:tr>
        <w:trPr>
          <w:trHeight w:val="88"/>
        </w:trPr>
        <w:tc>
          <w:tcPr>
            <w:tcW w:w="44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5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212,598</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24,136</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236,734</w:t>
            </w:r>
          </w:p>
        </w:tc>
      </w:tr>
      <w:tr>
        <w:trPr>
          <w:trHeight w:val="257"/>
        </w:trPr>
        <w:tc>
          <w:tcPr>
            <w:tcW w:w="442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Allowance ratio </w:t>
            </w:r>
            <w:r>
              <w:rPr>
                <w:rFonts w:ascii="Times New Roman" w:cs="Times New Roman" w:eastAsia="Times New Roman" w:hAnsi="Times New Roman"/>
                <w:sz w:val="25"/>
                <w:szCs w:val="25"/>
                <w:color w:val="auto"/>
                <w:vertAlign w:val="superscript"/>
              </w:rPr>
              <w:t>(1)</w:t>
            </w:r>
          </w:p>
        </w:tc>
        <w:tc>
          <w:tcPr>
            <w:tcW w:w="1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5.7 %</w:t>
            </w:r>
          </w:p>
        </w:tc>
      </w:tr>
      <w:tr>
        <w:trPr>
          <w:trHeight w:val="94"/>
        </w:trPr>
        <w:tc>
          <w:tcPr>
            <w:tcW w:w="44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Gross allowance for loan and lease losses</w:t>
            </w: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261,550</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24,136</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285,686</w:t>
            </w:r>
          </w:p>
        </w:tc>
      </w:tr>
      <w:tr>
        <w:trPr>
          <w:trHeight w:val="257"/>
        </w:trPr>
        <w:tc>
          <w:tcPr>
            <w:tcW w:w="4420" w:type="dxa"/>
            <w:vAlign w:val="bottom"/>
            <w:tcBorders>
              <w:bottom w:val="single" w:sz="8" w:color="auto"/>
            </w:tcBorders>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Gross allowance ratio </w:t>
            </w:r>
            <w:r>
              <w:rPr>
                <w:rFonts w:ascii="Times New Roman" w:cs="Times New Roman" w:eastAsia="Times New Roman" w:hAnsi="Times New Roman"/>
                <w:sz w:val="25"/>
                <w:szCs w:val="25"/>
                <w:color w:val="auto"/>
                <w:vertAlign w:val="superscript"/>
              </w:rPr>
              <w:t>(1)</w:t>
            </w:r>
          </w:p>
        </w:tc>
        <w:tc>
          <w:tcPr>
            <w:tcW w:w="13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2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6.9 %</w:t>
            </w:r>
          </w:p>
        </w:tc>
      </w:tr>
    </w:tbl>
    <w:p>
      <w:pPr>
        <w:spacing w:after="0" w:line="112" w:lineRule="exact"/>
        <w:rPr>
          <w:sz w:val="20"/>
          <w:szCs w:val="20"/>
          <w:color w:val="auto"/>
        </w:rPr>
      </w:pPr>
    </w:p>
    <w:p>
      <w:pPr>
        <w:ind w:left="420" w:right="620" w:hanging="412"/>
        <w:spacing w:after="0" w:line="227" w:lineRule="auto"/>
        <w:tabs>
          <w:tab w:leader="none" w:pos="293"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ALLL or gross ALLL, where applicable, to the corresponding portfolio segment balance of loans and leases held for investment at amortized cost.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in the ACL by portfolio segment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Beginning of period $</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212,598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24,136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298,061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12,326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312,489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15,363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327,852</w:t>
            </w: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Credit loss expense</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190,031</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897</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160,581</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14,849</w:t>
            </w: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244,518</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243,570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(benefit)</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Charge-offs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(209,742)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(299,159)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(278,105)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(281,107)</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65,924</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53,115</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19,159</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20,072</w:t>
            </w:r>
          </w:p>
        </w:tc>
        <w:tc>
          <w:tcPr>
            <w:tcW w:w="0" w:type="dxa"/>
            <w:vAlign w:val="bottom"/>
          </w:tcPr>
          <w:p>
            <w:pPr>
              <w:spacing w:after="0"/>
              <w:rPr>
                <w:sz w:val="1"/>
                <w:szCs w:val="1"/>
                <w:color w:val="auto"/>
              </w:rPr>
            </w:pPr>
          </w:p>
        </w:tc>
      </w:tr>
      <w:tr>
        <w:trPr>
          <w:trHeight w:val="210"/>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258,811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16,932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275,743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212,598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24,136</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236,734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298,061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310,387</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Reserve for unfunded lending commitments: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 $</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1,873</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Credit loss (benefit)</w:t>
            </w:r>
          </w:p>
        </w:tc>
        <w:tc>
          <w:tcPr>
            <w:tcW w:w="120" w:type="dxa"/>
            <w:vAlign w:val="bottom"/>
          </w:tcPr>
          <w:p>
            <w:pPr>
              <w:spacing w:after="0"/>
              <w:rPr>
                <w:sz w:val="14"/>
                <w:szCs w:val="14"/>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14"/>
                <w:szCs w:val="14"/>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End of period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0" w:right="40" w:hanging="412"/>
        <w:spacing w:after="0" w:line="215" w:lineRule="auto"/>
        <w:tabs>
          <w:tab w:leader="none" w:pos="293"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an $8.0 million charge-off recorded in the first quarter of 2025 related to one office loan within the Company’s Commercial Real Estate portfolio, which was fully reserved for in prior periods.</w:t>
      </w:r>
    </w:p>
    <w:p>
      <w:pPr>
        <w:spacing w:after="0" w:line="25" w:lineRule="exact"/>
        <w:rPr>
          <w:rFonts w:ascii="Times New Roman" w:cs="Times New Roman" w:eastAsia="Times New Roman" w:hAnsi="Times New Roman"/>
          <w:sz w:val="26"/>
          <w:szCs w:val="26"/>
          <w:color w:val="auto"/>
          <w:vertAlign w:val="superscript"/>
        </w:rPr>
      </w:pPr>
    </w:p>
    <w:p>
      <w:pPr>
        <w:ind w:left="420" w:right="840" w:hanging="412"/>
        <w:spacing w:after="0" w:line="215" w:lineRule="auto"/>
        <w:tabs>
          <w:tab w:leader="none" w:pos="293" w:val="left"/>
        </w:tabs>
        <w:numPr>
          <w:ilvl w:val="0"/>
          <w:numId w:val="6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Relates to $52.0 million, $105.0 million and $78.1 million of unfunded commitments as of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charge-offs by origination year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926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Gross Charge-Offs by Origination Year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37"/>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Unsecured personal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207,439</w:t>
            </w: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consumer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169"/>
        </w:trPr>
        <w:tc>
          <w:tcPr>
            <w:tcW w:w="30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Total consumer loans held for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209,742</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r>
      <w:tr>
        <w:trPr>
          <w:trHeight w:val="229"/>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169"/>
        </w:trPr>
        <w:tc>
          <w:tcPr>
            <w:tcW w:w="30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Total commercial loans and leases held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0"/>
        </w:trPr>
        <w:tc>
          <w:tcPr>
            <w:tcW w:w="3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 investment</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175"/>
        </w:trPr>
        <w:tc>
          <w:tcPr>
            <w:tcW w:w="3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Total loans and leases held for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investment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w:t>
            </w:r>
          </w:p>
        </w:tc>
        <w:tc>
          <w:tcPr>
            <w:tcW w:w="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60,568</w:t>
            </w:r>
          </w:p>
        </w:tc>
        <w:tc>
          <w:tcPr>
            <w:tcW w:w="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218,874</w:t>
            </w: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Unsecured personal loans are generally charged-off when a borrower is contractually 120 days past due.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Lending Credit Quality Indicators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evaluates the credit quality of its consumer loan portfolio based on the aging status of the loan and by payment activity. Loan delinquency reporting is based upon borrower payment activity relative to the contractual terms of the loan. The following tables present the classes of financing receivables within the consumer portfolio segment by credit quality indicator based on delinquency status and origination 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6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Term Loans and Leases by Origination Year</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Unsecured personal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1,741,108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283,513</w:t>
            </w:r>
          </w:p>
        </w:tc>
        <w:tc>
          <w:tcPr>
            <w:tcW w:w="10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3,130,856</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22,491</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18,550</w:t>
            </w:r>
          </w:p>
        </w:tc>
      </w:tr>
      <w:tr>
        <w:trPr>
          <w:trHeight w:val="216"/>
        </w:trPr>
        <w:tc>
          <w:tcPr>
            <w:tcW w:w="3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17,936</w:t>
            </w:r>
          </w:p>
        </w:tc>
      </w:tr>
      <w:tr>
        <w:trPr>
          <w:trHeight w:val="212"/>
        </w:trPr>
        <w:tc>
          <w:tcPr>
            <w:tcW w:w="312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unsecured personal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1,761,554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757,659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335,672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293,378</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41,570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3,189,833</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150,099</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6"/>
        </w:trPr>
        <w:tc>
          <w:tcPr>
            <w:tcW w:w="3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residential mortgages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40,931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151,073</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Secured consumer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257,048</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16"/>
        </w:trPr>
        <w:tc>
          <w:tcPr>
            <w:tcW w:w="3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secured consumer</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135,242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43,390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28,232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261,045</w:t>
            </w:r>
          </w:p>
        </w:tc>
      </w:tr>
      <w:tr>
        <w:trPr>
          <w:trHeight w:val="235"/>
        </w:trPr>
        <w:tc>
          <w:tcPr>
            <w:tcW w:w="31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consumer loans held for investment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1,896,796</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805,532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379,062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362,541</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95,729</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62,291</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3,601,951</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300" w:hanging="332"/>
        <w:spacing w:after="0" w:line="235" w:lineRule="auto"/>
        <w:tabs>
          <w:tab w:leader="none" w:pos="364"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cumulative basis adjustment for loans designated in fair value hedges under the portfolio layer method. As of December 31, 2025, the basis adjustment totaled $1.6 million and represents an increase to the amortized cost of the hedged loans. See “</w:t>
      </w:r>
      <w:r>
        <w:rPr>
          <w:rFonts w:ascii="Times New Roman" w:cs="Times New Roman" w:eastAsia="Times New Roman" w:hAnsi="Times New Roman"/>
          <w:sz w:val="20"/>
          <w:szCs w:val="20"/>
          <w:i w:val="1"/>
          <w:iCs w:val="1"/>
          <w:color w:val="auto"/>
        </w:rPr>
        <w:t>Note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for additional information.</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6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Term Loans and Leases by Origination Year</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r>
      <w:tr>
        <w:trPr>
          <w:trHeight w:val="210"/>
        </w:trPr>
        <w:tc>
          <w:tcPr>
            <w:tcW w:w="3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Prior</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Unsecured personal</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1,347,685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762,223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142,546</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3,040,390</w:t>
            </w: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23,530</w:t>
            </w: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19,293</w:t>
            </w:r>
          </w:p>
        </w:tc>
      </w:tr>
      <w:tr>
        <w:trPr>
          <w:trHeight w:val="216"/>
        </w:trPr>
        <w:tc>
          <w:tcPr>
            <w:tcW w:w="3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21,387</w:t>
            </w:r>
          </w:p>
        </w:tc>
      </w:tr>
      <w:tr>
        <w:trPr>
          <w:trHeight w:val="212"/>
        </w:trPr>
        <w:tc>
          <w:tcPr>
            <w:tcW w:w="3140" w:type="dxa"/>
            <w:vAlign w:val="bottom"/>
            <w:tcBorders>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unsecured personal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1,357,478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810,133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787,948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149,041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3,104,600</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172,472</w:t>
            </w: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6"/>
        </w:trPr>
        <w:tc>
          <w:tcPr>
            <w:tcW w:w="3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residential mortgages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45,828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46,028</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172,711</w:t>
            </w: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Secured consumer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226,953</w:t>
            </w:r>
          </w:p>
        </w:tc>
      </w:tr>
      <w:tr>
        <w:trPr>
          <w:trHeight w:val="21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30-59 days past due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1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60-89 days past due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6"/>
        </w:trPr>
        <w:tc>
          <w:tcPr>
            <w:tcW w:w="3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 or more days past due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secured consumer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79,209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58,402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230,232</w:t>
            </w:r>
          </w:p>
        </w:tc>
      </w:tr>
      <w:tr>
        <w:trPr>
          <w:trHeight w:val="235"/>
        </w:trPr>
        <w:tc>
          <w:tcPr>
            <w:tcW w:w="3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consumer loans held for investment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1,436,784</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889,342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892,178</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212,663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28,176</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48,400</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3,507,543</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300" w:hanging="332"/>
        <w:spacing w:after="0" w:line="231" w:lineRule="auto"/>
        <w:tabs>
          <w:tab w:leader="none" w:pos="364"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cumulative basis adjustment for loans designated in fair value hedges under the portfolio layer method. As of December 31, 2024, the basis adjustment totaled $1.9 million and represents an increase to the amortized cost of the hedged loans. See “</w:t>
      </w:r>
      <w:r>
        <w:rPr>
          <w:rFonts w:ascii="Times New Roman" w:cs="Times New Roman" w:eastAsia="Times New Roman" w:hAnsi="Times New Roman"/>
          <w:sz w:val="20"/>
          <w:szCs w:val="20"/>
          <w:i w:val="1"/>
          <w:iCs w:val="1"/>
          <w:color w:val="auto"/>
        </w:rPr>
        <w:t>Note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Derivative Instruments and Hedging Activities</w:t>
      </w:r>
      <w:r>
        <w:rPr>
          <w:rFonts w:ascii="Times New Roman" w:cs="Times New Roman" w:eastAsia="Times New Roman" w:hAnsi="Times New Roman"/>
          <w:sz w:val="20"/>
          <w:szCs w:val="20"/>
          <w:color w:val="auto"/>
        </w:rPr>
        <w:t>”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Lending Credit Quality Indicators</w:t>
      </w:r>
    </w:p>
    <w:p>
      <w:pPr>
        <w:spacing w:after="0" w:line="2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evaluates the credit quality of its commercial loan portfolio based on regulatory risk ratings. The Company categorizes loans and leases into risk ratings based on relevant information about the quality and realizable value of collateral, if any, and the ability of obligors to service their debts, such as current financial information, historical payment experience, credit documentation, public information, and current economic trends, among other factors. The Company analyzes loans and leases individually by classifying the loans and leases based on their associated credit risk and performs this analysis whenever credit is extended, renewed or modified, or when an observable event occurs indicating a potential decline in credit quality, and no less than annually for large balance loans. Risk rating classifications consist of the following: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Pass </w:t>
      </w:r>
      <w:r>
        <w:rPr>
          <w:rFonts w:ascii="Times New Roman" w:cs="Times New Roman" w:eastAsia="Times New Roman" w:hAnsi="Times New Roman"/>
          <w:sz w:val="20"/>
          <w:szCs w:val="20"/>
          <w:color w:val="auto"/>
        </w:rPr>
        <w:t>– Loans and leases that the Company believes will fully repay in accordance with the contractual loan terms.</w:t>
      </w:r>
    </w:p>
    <w:p>
      <w:pPr>
        <w:spacing w:after="0" w:line="256"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9"/>
          <w:szCs w:val="19"/>
          <w:i w:val="1"/>
          <w:iCs w:val="1"/>
          <w:color w:val="auto"/>
        </w:rPr>
        <w:t xml:space="preserve">Special Mention </w:t>
      </w:r>
      <w:r>
        <w:rPr>
          <w:rFonts w:ascii="Times New Roman" w:cs="Times New Roman" w:eastAsia="Times New Roman" w:hAnsi="Times New Roman"/>
          <w:sz w:val="19"/>
          <w:szCs w:val="19"/>
          <w:color w:val="auto"/>
        </w:rPr>
        <w:t>– Loans and leases with a potential weakness that deserve management’s close attention. If left uncorrected, these potential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weaknesses may result in deterioration of the repayment prospects for the loan or the Company’s credit position at some future date.</w:t>
      </w:r>
    </w:p>
    <w:p>
      <w:pPr>
        <w:spacing w:after="0" w:line="1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Substandard </w:t>
      </w:r>
      <w:r>
        <w:rPr>
          <w:rFonts w:ascii="Times New Roman" w:cs="Times New Roman" w:eastAsia="Times New Roman" w:hAnsi="Times New Roman"/>
          <w:sz w:val="20"/>
          <w:szCs w:val="20"/>
          <w:color w:val="auto"/>
        </w:rPr>
        <w:t>– Loans and leases that are inadequately protected by the current sound worth and paying capacity of the obligor or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collateral pledged, if any. Loans and leases so classified have a well-defined weakness or weaknesses that jeopardize the repayment and liquidation of the debt. They are characterized by the distinct possibility that the Company will sustain some loss if the deficiencies are not corrected. Normal payment from the borrower is in jeopardy, although loss of principal, while still possible, is not imminent.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Doubtful </w:t>
      </w:r>
      <w:r>
        <w:rPr>
          <w:rFonts w:ascii="Times New Roman" w:cs="Times New Roman" w:eastAsia="Times New Roman" w:hAnsi="Times New Roman"/>
          <w:sz w:val="20"/>
          <w:szCs w:val="20"/>
          <w:color w:val="auto"/>
        </w:rPr>
        <w:t>– Loans and leases that have all the weaknesses inherent in those classified as Substandard, with the added characteristic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weaknesses make collection or liquidation in full, on the basis of currently known facts, conditions, and values, highly questionable and improbable.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Loss </w:t>
      </w:r>
      <w:r>
        <w:rPr>
          <w:rFonts w:ascii="Times New Roman" w:cs="Times New Roman" w:eastAsia="Times New Roman" w:hAnsi="Times New Roman"/>
          <w:sz w:val="20"/>
          <w:szCs w:val="20"/>
          <w:color w:val="auto"/>
        </w:rPr>
        <w:t>– Loans and leases that are considered uncollectible and of little value.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classes of financing receivables within the commercial portfolio segment by risk rating and origination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040" w:type="dxa"/>
            <w:vAlign w:val="bottom"/>
            <w:tcBorders>
              <w:top w:val="single" w:sz="8" w:color="auto"/>
              <w:bottom w:val="single" w:sz="8" w:color="auto"/>
            </w:tcBorders>
            <w:gridSpan w:val="11"/>
          </w:tcPr>
          <w:p>
            <w:pPr>
              <w:ind w:left="620"/>
              <w:spacing w:after="0"/>
              <w:rPr>
                <w:sz w:val="20"/>
                <w:szCs w:val="20"/>
                <w:color w:val="auto"/>
              </w:rPr>
            </w:pPr>
            <w:r>
              <w:rPr>
                <w:rFonts w:ascii="Times New Roman" w:cs="Times New Roman" w:eastAsia="Times New Roman" w:hAnsi="Times New Roman"/>
                <w:sz w:val="14"/>
                <w:szCs w:val="14"/>
                <w:b w:val="1"/>
                <w:bCs w:val="1"/>
                <w:color w:val="auto"/>
              </w:rPr>
              <w:t>Term Loans and Leases by Origination Year</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60" w:type="dxa"/>
            <w:vAlign w:val="bottom"/>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Guaranteed</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33,035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equipment finance</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24,566</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39,757</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444,296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30,959</w:t>
            </w: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w:t>
            </w: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1,813</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95,736</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63,750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139,171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472,489</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39,507</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112,937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75,216</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9,264</w:t>
            </w:r>
          </w:p>
        </w:tc>
        <w:tc>
          <w:tcPr>
            <w:tcW w:w="0" w:type="dxa"/>
            <w:vAlign w:val="bottom"/>
          </w:tcPr>
          <w:p>
            <w:pPr>
              <w:spacing w:after="0"/>
              <w:rPr>
                <w:sz w:val="1"/>
                <w:szCs w:val="1"/>
                <w:color w:val="auto"/>
              </w:rPr>
            </w:pPr>
          </w:p>
        </w:tc>
      </w:tr>
      <w:tr>
        <w:trPr>
          <w:trHeight w:val="195"/>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13,790</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6,203</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21,987</w:t>
            </w: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38,938</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26,874</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157,018</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108,826</w:t>
            </w:r>
          </w:p>
        </w:tc>
        <w:tc>
          <w:tcPr>
            <w:tcW w:w="0" w:type="dxa"/>
            <w:vAlign w:val="bottom"/>
          </w:tcPr>
          <w:p>
            <w:pPr>
              <w:spacing w:after="0"/>
              <w:rPr>
                <w:sz w:val="1"/>
                <w:szCs w:val="1"/>
                <w:color w:val="auto"/>
              </w:rPr>
            </w:pPr>
          </w:p>
        </w:tc>
      </w:tr>
      <w:tr>
        <w:trPr>
          <w:trHeight w:val="137"/>
        </w:trPr>
        <w:tc>
          <w:tcPr>
            <w:tcW w:w="25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commercial loans and leases held</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117,723</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67,487</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90,371</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159,824</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73,459</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160,400</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669,264</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148,333</w:t>
            </w:r>
          </w:p>
        </w:tc>
        <w:tc>
          <w:tcPr>
            <w:tcW w:w="0" w:type="dxa"/>
            <w:vAlign w:val="bottom"/>
          </w:tcPr>
          <w:p>
            <w:pPr>
              <w:spacing w:after="0"/>
              <w:rPr>
                <w:sz w:val="1"/>
                <w:szCs w:val="1"/>
                <w:color w:val="auto"/>
              </w:rPr>
            </w:pPr>
          </w:p>
        </w:tc>
      </w:tr>
      <w:tr>
        <w:trPr>
          <w:trHeight w:val="195"/>
        </w:trPr>
        <w:tc>
          <w:tcPr>
            <w:tcW w:w="2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loan balances guaranteed by the SBA.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Term Loans and Leases by Origination Year</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60" w:type="dxa"/>
            <w:vAlign w:val="bottom"/>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Guaranteed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32,544</w:t>
            </w:r>
          </w:p>
        </w:tc>
        <w:tc>
          <w:tcPr>
            <w:tcW w:w="80" w:type="dxa"/>
            <w:vAlign w:val="bottom"/>
          </w:tcPr>
          <w:p>
            <w:pPr>
              <w:spacing w:after="0"/>
              <w:rPr>
                <w:sz w:val="16"/>
                <w:szCs w:val="16"/>
                <w:color w:val="auto"/>
              </w:rPr>
            </w:pPr>
          </w:p>
        </w:tc>
        <w:tc>
          <w:tcPr>
            <w:tcW w:w="2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57,597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equipment finance</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33,655</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64,232</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335,623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31,499</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22,847</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67,692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93,454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373,785</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41,982</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134,568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85,269</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0" w:type="dxa"/>
            <w:vAlign w:val="bottom"/>
          </w:tcPr>
          <w:p>
            <w:pPr>
              <w:spacing w:after="0"/>
              <w:rPr>
                <w:sz w:val="1"/>
                <w:szCs w:val="1"/>
                <w:color w:val="auto"/>
              </w:rPr>
            </w:pPr>
          </w:p>
        </w:tc>
      </w:tr>
      <w:tr>
        <w:trPr>
          <w:trHeight w:val="195"/>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14,879</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7,182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28,947</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57,475</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34,482</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178,386</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119,066</w:t>
            </w:r>
          </w:p>
        </w:tc>
        <w:tc>
          <w:tcPr>
            <w:tcW w:w="0" w:type="dxa"/>
            <w:vAlign w:val="bottom"/>
          </w:tcPr>
          <w:p>
            <w:pPr>
              <w:spacing w:after="0"/>
              <w:rPr>
                <w:sz w:val="1"/>
                <w:szCs w:val="1"/>
                <w:color w:val="auto"/>
              </w:rPr>
            </w:pPr>
          </w:p>
        </w:tc>
      </w:tr>
      <w:tr>
        <w:trPr>
          <w:trHeight w:val="137"/>
        </w:trPr>
        <w:tc>
          <w:tcPr>
            <w:tcW w:w="21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commercial loans and</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51,794</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104,562</w:t>
            </w:r>
          </w:p>
        </w:tc>
        <w:tc>
          <w:tcPr>
            <w:tcW w:w="4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184,584</w:t>
            </w:r>
          </w:p>
        </w:tc>
        <w:tc>
          <w:tcPr>
            <w:tcW w:w="80" w:type="dxa"/>
            <w:vAlign w:val="bottom"/>
          </w:tcPr>
          <w:p>
            <w:pPr>
              <w:spacing w:after="0"/>
              <w:rPr>
                <w:sz w:val="11"/>
                <w:szCs w:val="11"/>
                <w:color w:val="auto"/>
              </w:rPr>
            </w:pPr>
          </w:p>
        </w:tc>
        <w:tc>
          <w:tcPr>
            <w:tcW w:w="2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77,682</w:t>
            </w: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52,771</w:t>
            </w: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145,010</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616,403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161,048</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leases held for investment</w:t>
            </w:r>
          </w:p>
        </w:tc>
        <w:tc>
          <w:tcPr>
            <w:tcW w:w="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loan balances guaranteed by the SBA.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an analysis of the past due loans and leases HFI at amortized cost within the commercial portfolio segment: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30-59</w:t>
            </w: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60-89</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90 or More</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 Days Past</w:t>
            </w: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Guaranteed</w:t>
            </w: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Days</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Due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Amount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20,074</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commercial loans and leases held for investment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34,344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0" w:type="dxa"/>
            <w:vAlign w:val="bottom"/>
          </w:tcPr>
          <w:p>
            <w:pPr>
              <w:spacing w:after="0"/>
              <w:rPr>
                <w:sz w:val="1"/>
                <w:szCs w:val="1"/>
                <w:color w:val="auto"/>
              </w:rPr>
            </w:pPr>
          </w:p>
        </w:tc>
      </w:tr>
      <w:tr>
        <w:trPr>
          <w:trHeight w:val="21"/>
        </w:trPr>
        <w:tc>
          <w:tcPr>
            <w:tcW w:w="4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14"/>
                <w:szCs w:val="14"/>
                <w:color w:val="auto"/>
              </w:rPr>
            </w:pPr>
          </w:p>
        </w:tc>
        <w:tc>
          <w:tcPr>
            <w:tcW w:w="9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30-59</w:t>
            </w:r>
          </w:p>
        </w:tc>
        <w:tc>
          <w:tcPr>
            <w:tcW w:w="320" w:type="dxa"/>
            <w:vAlign w:val="bottom"/>
          </w:tcPr>
          <w:p>
            <w:pPr>
              <w:spacing w:after="0"/>
              <w:rPr>
                <w:sz w:val="14"/>
                <w:szCs w:val="14"/>
                <w:color w:val="auto"/>
              </w:rPr>
            </w:pPr>
          </w:p>
        </w:tc>
        <w:tc>
          <w:tcPr>
            <w:tcW w:w="9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60-89</w:t>
            </w:r>
          </w:p>
        </w:tc>
        <w:tc>
          <w:tcPr>
            <w:tcW w:w="140" w:type="dxa"/>
            <w:vAlign w:val="bottom"/>
          </w:tcPr>
          <w:p>
            <w:pPr>
              <w:spacing w:after="0"/>
              <w:rPr>
                <w:sz w:val="14"/>
                <w:szCs w:val="14"/>
                <w:color w:val="auto"/>
              </w:rPr>
            </w:pPr>
          </w:p>
        </w:tc>
        <w:tc>
          <w:tcPr>
            <w:tcW w:w="1140" w:type="dxa"/>
            <w:vAlign w:val="bottom"/>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90 or More</w:t>
            </w:r>
          </w:p>
        </w:tc>
        <w:tc>
          <w:tcPr>
            <w:tcW w:w="140" w:type="dxa"/>
            <w:vAlign w:val="bottom"/>
          </w:tcPr>
          <w:p>
            <w:pPr>
              <w:spacing w:after="0"/>
              <w:rPr>
                <w:sz w:val="14"/>
                <w:szCs w:val="14"/>
                <w:color w:val="auto"/>
              </w:rPr>
            </w:pPr>
          </w:p>
        </w:tc>
        <w:tc>
          <w:tcPr>
            <w:tcW w:w="1420" w:type="dxa"/>
            <w:vAlign w:val="bottom"/>
            <w:gridSpan w:val="2"/>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Total Days Past</w:t>
            </w:r>
          </w:p>
        </w:tc>
        <w:tc>
          <w:tcPr>
            <w:tcW w:w="280" w:type="dxa"/>
            <w:vAlign w:val="bottom"/>
          </w:tcPr>
          <w:p>
            <w:pPr>
              <w:spacing w:after="0"/>
              <w:rPr>
                <w:sz w:val="14"/>
                <w:szCs w:val="14"/>
                <w:color w:val="auto"/>
              </w:rPr>
            </w:pPr>
          </w:p>
        </w:tc>
        <w:tc>
          <w:tcPr>
            <w:tcW w:w="13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Guaranteed</w:t>
            </w: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Days</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Due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30"/>
              <w:spacing w:after="0" w:line="243" w:lineRule="exact"/>
              <w:rPr>
                <w:sz w:val="20"/>
                <w:szCs w:val="20"/>
                <w:color w:val="auto"/>
              </w:rPr>
            </w:pPr>
            <w:r>
              <w:rPr>
                <w:rFonts w:ascii="Times New Roman" w:cs="Times New Roman" w:eastAsia="Times New Roman" w:hAnsi="Times New Roman"/>
                <w:sz w:val="18"/>
                <w:szCs w:val="18"/>
                <w:b w:val="1"/>
                <w:bCs w:val="1"/>
                <w:color w:val="auto"/>
                <w:w w:val="93"/>
              </w:rPr>
              <w:t xml:space="preserve">Amount </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finance</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8,320</w:t>
            </w:r>
          </w:p>
        </w:tc>
        <w:tc>
          <w:tcPr>
            <w:tcW w:w="3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9,731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18,534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15,971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commercial loans and leases held for investment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14,644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30,253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46,562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loan balances guaranteed by the SBA.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Modifications</w:t>
      </w:r>
    </w:p>
    <w:p>
      <w:pPr>
        <w:spacing w:after="0" w:line="26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The Company has loan modification programs to assist borrowers experiencing financial difficulty and to mitigate losses and maximize collections for loans serviced by the Company. The table below presents the amortized cost of loans that were modified during the periods presented, by modification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7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Short-term payment reduction</w:t>
            </w:r>
          </w:p>
        </w:tc>
        <w:tc>
          <w:tcPr>
            <w:tcW w:w="7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17,880</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26,421</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4,867</w:t>
            </w:r>
          </w:p>
        </w:tc>
      </w:tr>
      <w:tr>
        <w:trPr>
          <w:trHeight w:val="266"/>
        </w:trPr>
        <w:tc>
          <w:tcPr>
            <w:tcW w:w="5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Permanent loan modification</w:t>
            </w:r>
          </w:p>
        </w:tc>
        <w:tc>
          <w:tcPr>
            <w:tcW w:w="760" w:type="dxa"/>
            <w:vAlign w:val="bottom"/>
          </w:tcPr>
          <w:p>
            <w:pPr>
              <w:spacing w:after="0"/>
              <w:rPr>
                <w:sz w:val="23"/>
                <w:szCs w:val="23"/>
                <w:color w:val="auto"/>
              </w:rPr>
            </w:pPr>
          </w:p>
        </w:tc>
        <w:tc>
          <w:tcPr>
            <w:tcW w:w="13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5,985</w:t>
            </w:r>
          </w:p>
        </w:tc>
        <w:tc>
          <w:tcPr>
            <w:tcW w:w="420" w:type="dxa"/>
            <w:vAlign w:val="bottom"/>
          </w:tcPr>
          <w:p>
            <w:pPr>
              <w:spacing w:after="0"/>
              <w:rPr>
                <w:sz w:val="23"/>
                <w:szCs w:val="23"/>
                <w:color w:val="auto"/>
              </w:rPr>
            </w:pPr>
          </w:p>
        </w:tc>
        <w:tc>
          <w:tcPr>
            <w:tcW w:w="13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5,874</w:t>
            </w:r>
          </w:p>
        </w:tc>
        <w:tc>
          <w:tcPr>
            <w:tcW w:w="420" w:type="dxa"/>
            <w:vAlign w:val="bottom"/>
          </w:tcPr>
          <w:p>
            <w:pPr>
              <w:spacing w:after="0"/>
              <w:rPr>
                <w:sz w:val="23"/>
                <w:szCs w:val="23"/>
                <w:color w:val="auto"/>
              </w:rPr>
            </w:pPr>
          </w:p>
        </w:tc>
        <w:tc>
          <w:tcPr>
            <w:tcW w:w="13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3,659</w:t>
            </w:r>
          </w:p>
        </w:tc>
      </w:tr>
      <w:tr>
        <w:trPr>
          <w:trHeight w:val="270"/>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Debt settlement</w:t>
            </w:r>
          </w:p>
        </w:tc>
        <w:tc>
          <w:tcPr>
            <w:tcW w:w="7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3,352</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5,631</w:t>
            </w: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7,350</w:t>
            </w:r>
          </w:p>
        </w:tc>
      </w:tr>
      <w:tr>
        <w:trPr>
          <w:trHeight w:val="321"/>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loan modifications – unsecured personal loans</w:t>
            </w:r>
          </w:p>
        </w:tc>
        <w:tc>
          <w:tcPr>
            <w:tcW w:w="7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27,217</w:t>
            </w:r>
          </w:p>
        </w:tc>
        <w:tc>
          <w:tcPr>
            <w:tcW w:w="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37,926</w:t>
            </w:r>
          </w:p>
        </w:tc>
        <w:tc>
          <w:tcPr>
            <w:tcW w:w="4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15,876</w:t>
            </w:r>
          </w:p>
        </w:tc>
      </w:tr>
      <w:tr>
        <w:trPr>
          <w:trHeight w:val="26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of unsecured personal loans at amortized cost as of period end</w:t>
            </w: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0.4 %</w:t>
            </w:r>
          </w:p>
        </w:tc>
      </w:tr>
    </w:tbl>
    <w:p>
      <w:pPr>
        <w:spacing w:after="0" w:line="31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The Company expanded its digital channels to enable borrowers experiencing financial difficulty to qualify for a short-term payment reduction modification program. Under this program, borrowers may receive a temporary payment reduction for three months. If the borrower meets the temporary payment reduction requirements during the first three-month term, they may qualify for a payment reduction for an additional three months. Receiving an additional three months of payment reduction is considered an other-than-insignificant payment delay and becomes a short-term payment reduction modification. The short-term payment reduction modification results in a term extension of five to nine months compared to the original maturity date of the loan and does not include any principal or interest forgiveness. At the time of receiving a payment reduction, a delinquent loan resets to current status. However, if a borrower fails to comply with the modified terms, the delinquency status returns to the original contractual terms of the loan. Borrowers who were in their first three months of temporary payment reduction had a total of $12.7 million of loan balances at amortized cost outstanding as of December 31, 2025, and may subsequently be eligible for a short-term payment reduction modification.</w:t>
      </w:r>
    </w:p>
    <w:p>
      <w:pPr>
        <w:spacing w:after="0" w:line="22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Permanent loan modifications include both a reduction in contractual interest rates and an extension to the contractual maturity date of up to twelve months and do not include any principal forgiveness. To qualify for this modification, borrowers must meet the Company’s debt-to-income ratio requirements. During the years ended December 31, 2025, 2024, and 2023 the weighted-average interest rate reduction under this program was approximately 8.4%, 8.0% and 9.2%, respectively. The weighted-average maturity date extension was approximately twelve months for all periods.</w:t>
      </w:r>
    </w:p>
    <w:p>
      <w:pPr>
        <w:spacing w:after="0" w:line="21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Debt settlement modifications, which include engaging with debt settlement companies, reduce the principal and interest amounts owed by borrowers. The Company typically charges-off such loans within a few months following the modification, as payments under the modified agreement are less than the original contractual amounts.</w:t>
      </w:r>
    </w:p>
    <w:p>
      <w:pPr>
        <w:spacing w:after="0" w:line="20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delinquency status of the amortized cost of loan modifications as of the periods presented below that were modified during the preceding twelve months: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5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Permanent Loan</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Payment</w:t>
            </w:r>
          </w:p>
        </w:tc>
        <w:tc>
          <w:tcPr>
            <w:tcW w:w="156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Permanent Loan</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8"/>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Debt Settlement</w:t>
            </w:r>
          </w:p>
        </w:tc>
        <w:tc>
          <w:tcPr>
            <w:tcW w:w="24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6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Debt Settlement</w:t>
            </w:r>
          </w:p>
        </w:tc>
      </w:tr>
      <w:tr>
        <w:trPr>
          <w:trHeight w:val="27"/>
        </w:trPr>
        <w:tc>
          <w:tcPr>
            <w:tcW w:w="2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personal loans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4"/>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5,541</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5,285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1"/>
        </w:trPr>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2,691</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28"/>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 modifications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5,985</w:t>
            </w:r>
          </w:p>
        </w:tc>
        <w:tc>
          <w:tcPr>
            <w:tcW w:w="5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2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5,874</w:t>
            </w: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80"/>
        <w:spacing w:after="0" w:line="310" w:lineRule="auto"/>
        <w:rPr>
          <w:sz w:val="20"/>
          <w:szCs w:val="20"/>
          <w:color w:val="auto"/>
        </w:rPr>
      </w:pPr>
      <w:r>
        <w:rPr>
          <w:rFonts w:ascii="Times New Roman" w:cs="Times New Roman" w:eastAsia="Times New Roman" w:hAnsi="Times New Roman"/>
          <w:sz w:val="19"/>
          <w:szCs w:val="19"/>
          <w:color w:val="auto"/>
        </w:rPr>
        <w:t>A modified loan is generally charged-off in the event of a borrower defaulting at 120 days past due. The table below presents the total amount of charge-offs during the period for loan modifications that were entered into within the preceding twelve months of charge-off: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Short-term payment reduction</w:t>
            </w:r>
          </w:p>
        </w:tc>
        <w:tc>
          <w:tcPr>
            <w:tcW w:w="1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9,229</w:t>
            </w:r>
          </w:p>
        </w:tc>
        <w:tc>
          <w:tcPr>
            <w:tcW w:w="4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7,945</w:t>
            </w:r>
          </w:p>
        </w:tc>
        <w:tc>
          <w:tcPr>
            <w:tcW w:w="4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66"/>
        </w:trPr>
        <w:tc>
          <w:tcPr>
            <w:tcW w:w="5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Permanent loan modification</w:t>
            </w:r>
          </w:p>
        </w:tc>
        <w:tc>
          <w:tcPr>
            <w:tcW w:w="1340" w:type="dxa"/>
            <w:vAlign w:val="bottom"/>
          </w:tcPr>
          <w:p>
            <w:pPr>
              <w:spacing w:after="0"/>
              <w:rPr>
                <w:sz w:val="23"/>
                <w:szCs w:val="23"/>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1,542</w:t>
            </w:r>
          </w:p>
        </w:tc>
        <w:tc>
          <w:tcPr>
            <w:tcW w:w="4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r>
      <w:tr>
        <w:trPr>
          <w:trHeight w:val="270"/>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Debt settlement</w:t>
            </w:r>
          </w:p>
        </w:tc>
        <w:tc>
          <w:tcPr>
            <w:tcW w:w="1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38,556</w:t>
            </w:r>
          </w:p>
        </w:tc>
        <w:tc>
          <w:tcPr>
            <w:tcW w:w="4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72,845</w:t>
            </w:r>
          </w:p>
        </w:tc>
        <w:tc>
          <w:tcPr>
            <w:tcW w:w="4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53,111</w:t>
            </w:r>
          </w:p>
        </w:tc>
      </w:tr>
      <w:tr>
        <w:trPr>
          <w:trHeight w:val="26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loan modifications – unsecured personal loans</w:t>
            </w:r>
          </w:p>
        </w:tc>
        <w:tc>
          <w:tcPr>
            <w:tcW w:w="1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49,327</w:t>
            </w:r>
          </w:p>
        </w:tc>
        <w:tc>
          <w:tcPr>
            <w:tcW w:w="4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82,926</w:t>
            </w:r>
          </w:p>
        </w:tc>
        <w:tc>
          <w:tcPr>
            <w:tcW w:w="4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53,643</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Nonaccrual Assets</w:t>
      </w:r>
    </w:p>
    <w:p>
      <w:pPr>
        <w:spacing w:after="0" w:line="2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20"/>
          <w:szCs w:val="20"/>
          <w:color w:val="auto"/>
        </w:rPr>
        <w:t>Nonaccrual loans and leases are those for which accrual of interest has been suspended. Loans and leases are generally placed on nonaccrual status when contractually past due 90 days or more, or earlier if management believes that the probability of collection does not warrant further accrual.</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Certain loans on nonaccrual status may be considered collateral-dependent loans if the borrower is experiencing financial difficulty and repayment of the loan is expected to be substantially through sale of the collateral. Such loans are secured by various types of collateral, including real estate, auto and equipment, among others. Expected credit losses for the Company’s collateral-dependent loans are calculated as the difference between the amortized cost basis and the fair value of the underlying collateral less costs to sell, if applicable. The fair value of the underlying collateral is generally based on third-party appraisals, which are updated on a case-by-case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nonaccrual loans and leases: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220" w:type="dxa"/>
            <w:vAlign w:val="bottom"/>
          </w:tcPr>
          <w:p>
            <w:pPr>
              <w:spacing w:after="0"/>
              <w:rPr>
                <w:sz w:val="14"/>
                <w:szCs w:val="14"/>
                <w:color w:val="auto"/>
              </w:rPr>
            </w:pPr>
          </w:p>
        </w:tc>
        <w:tc>
          <w:tcPr>
            <w:tcW w:w="16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Nonaccrual with no</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220" w:type="dxa"/>
            <w:vAlign w:val="bottom"/>
          </w:tcPr>
          <w:p>
            <w:pPr>
              <w:spacing w:after="0"/>
              <w:rPr>
                <w:sz w:val="14"/>
                <w:szCs w:val="14"/>
                <w:color w:val="auto"/>
              </w:rPr>
            </w:pPr>
          </w:p>
        </w:tc>
        <w:tc>
          <w:tcPr>
            <w:tcW w:w="16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0" w:type="dxa"/>
            <w:vAlign w:val="bottom"/>
          </w:tcPr>
          <w:p>
            <w:pPr>
              <w:spacing w:after="0"/>
              <w:rPr>
                <w:sz w:val="1"/>
                <w:szCs w:val="1"/>
                <w:color w:val="auto"/>
              </w:rPr>
            </w:pPr>
          </w:p>
        </w:tc>
      </w:tr>
      <w:tr>
        <w:trPr>
          <w:trHeight w:val="243"/>
        </w:trPr>
        <w:tc>
          <w:tcPr>
            <w:tcW w:w="4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180"/>
              <w:spacing w:after="0" w:line="243" w:lineRule="exact"/>
              <w:rPr>
                <w:sz w:val="20"/>
                <w:szCs w:val="20"/>
                <w:color w:val="auto"/>
              </w:rPr>
            </w:pPr>
            <w:r>
              <w:rPr>
                <w:rFonts w:ascii="Times New Roman" w:cs="Times New Roman" w:eastAsia="Times New Roman" w:hAnsi="Times New Roman"/>
                <w:sz w:val="18"/>
                <w:szCs w:val="18"/>
                <w:b w:val="1"/>
                <w:bCs w:val="1"/>
                <w:color w:val="auto"/>
                <w:w w:val="96"/>
              </w:rPr>
              <w:t>related ACL</w:t>
            </w:r>
            <w:r>
              <w:rPr>
                <w:rFonts w:ascii="Times New Roman" w:cs="Times New Roman" w:eastAsia="Times New Roman" w:hAnsi="Times New Roman"/>
                <w:sz w:val="23"/>
                <w:szCs w:val="23"/>
                <w:b w:val="1"/>
                <w:bCs w:val="1"/>
                <w:color w:val="auto"/>
                <w:w w:val="96"/>
                <w:vertAlign w:val="superscript"/>
              </w:rPr>
              <w:t>(1)</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0"/>
              <w:spacing w:after="0" w:line="243" w:lineRule="exact"/>
              <w:rPr>
                <w:sz w:val="20"/>
                <w:szCs w:val="20"/>
                <w:color w:val="auto"/>
              </w:rPr>
            </w:pPr>
            <w:r>
              <w:rPr>
                <w:rFonts w:ascii="Times New Roman" w:cs="Times New Roman" w:eastAsia="Times New Roman" w:hAnsi="Times New Roman"/>
                <w:sz w:val="18"/>
                <w:szCs w:val="18"/>
                <w:b w:val="1"/>
                <w:bCs w:val="1"/>
                <w:color w:val="auto"/>
              </w:rPr>
              <w:t>related ACL</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personal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consumer</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nonaccrual consumer loans held for investment</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88"/>
        </w:trPr>
        <w:tc>
          <w:tcPr>
            <w:tcW w:w="43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finance</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2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27,489</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nonaccrual commercial loans and leases held for</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auto"/>
            </w:tcBorders>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investment </w:t>
            </w:r>
            <w:r>
              <w:rPr>
                <w:rFonts w:ascii="Times New Roman" w:cs="Times New Roman" w:eastAsia="Times New Roman" w:hAnsi="Times New Roman"/>
                <w:sz w:val="23"/>
                <w:szCs w:val="23"/>
                <w:color w:val="auto"/>
                <w:vertAlign w:val="superscript"/>
              </w:rPr>
              <w:t>(2)</w:t>
            </w: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41,670</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50,285</w:t>
            </w: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0" w:type="dxa"/>
            <w:vAlign w:val="bottom"/>
          </w:tcPr>
          <w:p>
            <w:pPr>
              <w:spacing w:after="0"/>
              <w:rPr>
                <w:sz w:val="1"/>
                <w:szCs w:val="1"/>
                <w:color w:val="auto"/>
              </w:rPr>
            </w:pPr>
          </w:p>
        </w:tc>
      </w:tr>
      <w:tr>
        <w:trPr>
          <w:trHeight w:val="88"/>
        </w:trPr>
        <w:tc>
          <w:tcPr>
            <w:tcW w:w="43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nonaccrual loans and leases held for investment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Subset of total nonaccrual loans and leases.</w:t>
      </w:r>
    </w:p>
    <w:p>
      <w:pPr>
        <w:spacing w:after="0" w:line="60"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6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$29.7 million and $31.2 million in loan balances guaranteed by the SBA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900" w:type="dxa"/>
            <w:vAlign w:val="bottom"/>
            <w:tcBorders>
              <w:bottom w:val="single" w:sz="8" w:color="auto"/>
            </w:tcBorders>
          </w:tcPr>
          <w:p>
            <w:pPr>
              <w:jc w:val="right"/>
              <w:ind w:right="3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Nonaccrual Ratios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940" w:type="dxa"/>
            <w:vAlign w:val="bottom"/>
            <w:tcBorders>
              <w:bottom w:val="single" w:sz="8" w:color="auto"/>
            </w:tcBorders>
          </w:tcPr>
          <w:p>
            <w:pPr>
              <w:jc w:val="right"/>
              <w:ind w:right="5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Nonaccrual Ratios </w:t>
            </w:r>
            <w:r>
              <w:rPr>
                <w:rFonts w:ascii="Times New Roman" w:cs="Times New Roman" w:eastAsia="Times New Roman" w:hAnsi="Times New Roman"/>
                <w:sz w:val="23"/>
                <w:szCs w:val="23"/>
                <w:b w:val="1"/>
                <w:bCs w:val="1"/>
                <w:color w:val="auto"/>
                <w:vertAlign w:val="superscript"/>
              </w:rPr>
              <w:t>(1)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nonaccrual consumer loans held for investment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nonaccrual commercial loans and leases held for</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4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41,670</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50,285</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8"/>
        </w:trPr>
        <w:tc>
          <w:tcPr>
            <w:tcW w:w="43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nonaccrual loans and leases held for investment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60,432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72,304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6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Calculated as the ratio of non-accruing loans and leases to loans and leases HFI at amortized cost.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Structured Program Transactions and Variable Interest Entities</w:t>
      </w:r>
    </w:p>
    <w:p>
      <w:pPr>
        <w:spacing w:after="0" w:line="2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Company’s VIEs relate to its Structured Program transactions. As of both December 31, 2025 and 2024, the Company did not consolidate any VIEs. Accordingly, holders of the related securities can look only to the assets of the VIEs that issued the securities and there is no direct recourse to the Company’s assets.</w:t>
      </w:r>
    </w:p>
    <w:p>
      <w:pPr>
        <w:spacing w:after="0" w:line="208" w:lineRule="exact"/>
        <w:rPr>
          <w:sz w:val="20"/>
          <w:szCs w:val="20"/>
          <w:color w:val="auto"/>
        </w:rPr>
      </w:pPr>
    </w:p>
    <w:p>
      <w:pPr>
        <w:ind w:right="108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classifications of assets and liabilities on the Company’s Balance Sheet for its transactions with unconsolidated VIEs: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tcPr>
          <w:p>
            <w:pPr>
              <w:spacing w:after="0"/>
              <w:rPr>
                <w:sz w:val="23"/>
                <w:szCs w:val="23"/>
                <w:color w:val="auto"/>
              </w:rPr>
            </w:pPr>
          </w:p>
        </w:tc>
        <w:tc>
          <w:tcPr>
            <w:tcW w:w="22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top w:val="single" w:sz="8" w:color="auto"/>
              <w:bottom w:val="single" w:sz="8" w:color="auto"/>
            </w:tcBorders>
          </w:tcPr>
          <w:p>
            <w:pPr>
              <w:spacing w:after="0"/>
              <w:rPr>
                <w:sz w:val="23"/>
                <w:szCs w:val="23"/>
                <w:color w:val="auto"/>
              </w:rPr>
            </w:pPr>
          </w:p>
        </w:tc>
        <w:tc>
          <w:tcPr>
            <w:tcW w:w="226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Securities available for sale at fair value</w:t>
            </w:r>
          </w:p>
        </w:tc>
        <w:tc>
          <w:tcPr>
            <w:tcW w:w="1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3,311,780</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3,069,771</w:t>
            </w:r>
          </w:p>
        </w:tc>
      </w:tr>
      <w:tr>
        <w:trPr>
          <w:trHeight w:val="256"/>
        </w:trPr>
        <w:tc>
          <w:tcPr>
            <w:tcW w:w="4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152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53,660</w:t>
            </w:r>
          </w:p>
        </w:tc>
        <w:tc>
          <w:tcPr>
            <w:tcW w:w="3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46,269</w:t>
            </w:r>
          </w:p>
        </w:tc>
      </w:tr>
      <w:tr>
        <w:trPr>
          <w:trHeight w:val="25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3,365,440</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3,116,040</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5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5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256"/>
        </w:trPr>
        <w:tc>
          <w:tcPr>
            <w:tcW w:w="4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Other liabilities</w:t>
            </w:r>
          </w:p>
        </w:tc>
        <w:tc>
          <w:tcPr>
            <w:tcW w:w="15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1,023</w:t>
            </w:r>
          </w:p>
        </w:tc>
        <w:tc>
          <w:tcPr>
            <w:tcW w:w="3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6,313</w:t>
            </w:r>
          </w:p>
        </w:tc>
      </w:tr>
      <w:tr>
        <w:trPr>
          <w:trHeight w:val="25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5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1,023</w:t>
            </w:r>
          </w:p>
        </w:tc>
        <w:tc>
          <w:tcPr>
            <w:tcW w:w="3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6,313</w:t>
            </w:r>
          </w:p>
        </w:tc>
      </w:tr>
      <w:tr>
        <w:trPr>
          <w:trHeight w:val="250"/>
        </w:trPr>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Total net assets (maximum loss exposure)</w:t>
            </w:r>
          </w:p>
        </w:tc>
        <w:tc>
          <w:tcPr>
            <w:tcW w:w="1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3,364,417</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3,109,727</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0"/>
          <w:szCs w:val="20"/>
          <w:color w:val="auto"/>
        </w:rPr>
        <w:t>Maximum loss exposure represents estimated loss that would be incurred under severe, hypothetical circumstances, for which the Company believes the possibility is extremely remote, such as where the value of interests declines to zero. Accordingly, this required disclosure is not an indication of expected losses.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The following table summarizes activity related to unconsolidated VIEs where the transfers were accounted for as a sale on the Company’s financial statements: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4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Fair value of consideration received:</w:t>
            </w:r>
          </w:p>
        </w:tc>
        <w:tc>
          <w:tcPr>
            <w:tcW w:w="6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w:t>
            </w: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1,094,285</w:t>
            </w:r>
          </w:p>
        </w:tc>
        <w:tc>
          <w:tcPr>
            <w:tcW w:w="4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394,205</w:t>
            </w:r>
          </w:p>
        </w:tc>
        <w:tc>
          <w:tcPr>
            <w:tcW w:w="4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172,397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securities retained from Structured Program transactions</w:t>
            </w:r>
          </w:p>
        </w:tc>
        <w:tc>
          <w:tcPr>
            <w:tcW w:w="6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1,993,586</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2,711,693</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1,299,313</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Other assets, net</w:t>
            </w:r>
          </w:p>
        </w:tc>
        <w:tc>
          <w:tcPr>
            <w:tcW w:w="6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36,302</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35,877</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16,740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consideration</w:t>
            </w:r>
          </w:p>
        </w:tc>
        <w:tc>
          <w:tcPr>
            <w:tcW w:w="6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3,124,173</w:t>
            </w: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3,141,775</w:t>
            </w: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1,488,450</w:t>
            </w:r>
          </w:p>
        </w:tc>
        <w:tc>
          <w:tcPr>
            <w:tcW w:w="0" w:type="dxa"/>
            <w:vAlign w:val="bottom"/>
          </w:tcPr>
          <w:p>
            <w:pPr>
              <w:spacing w:after="0"/>
              <w:rPr>
                <w:sz w:val="1"/>
                <w:szCs w:val="1"/>
                <w:color w:val="auto"/>
              </w:rPr>
            </w:pPr>
          </w:p>
        </w:tc>
      </w:tr>
      <w:tr>
        <w:trPr>
          <w:trHeight w:val="250"/>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Fair value of loans sold</w:t>
            </w:r>
          </w:p>
        </w:tc>
        <w:tc>
          <w:tcPr>
            <w:tcW w:w="6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(3,090,986)</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(3,079,628)</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(1,474,077)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Sale of senior securities related to Structured Program transactions</w:t>
            </w:r>
          </w:p>
        </w:tc>
        <w:tc>
          <w:tcPr>
            <w:tcW w:w="6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Deconsolidation of debt</w:t>
            </w:r>
          </w:p>
        </w:tc>
        <w:tc>
          <w:tcPr>
            <w:tcW w:w="60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880</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Principal derecognized from loans securitized or sold</w:t>
            </w:r>
          </w:p>
        </w:tc>
        <w:tc>
          <w:tcPr>
            <w:tcW w:w="6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Gain on sales of loans and securities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33,187</w:t>
            </w:r>
          </w:p>
        </w:tc>
        <w:tc>
          <w:tcPr>
            <w:tcW w:w="4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32,290</w:t>
            </w:r>
          </w:p>
        </w:tc>
        <w:tc>
          <w:tcPr>
            <w:tcW w:w="4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14,373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proceeds from continuing involvement:</w:t>
            </w:r>
          </w:p>
        </w:tc>
        <w:tc>
          <w:tcPr>
            <w:tcW w:w="6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Servicing and other administrative fees</w:t>
            </w:r>
          </w:p>
        </w:tc>
        <w:tc>
          <w:tcPr>
            <w:tcW w:w="6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38,300</w:t>
            </w:r>
          </w:p>
        </w:tc>
        <w:tc>
          <w:tcPr>
            <w:tcW w:w="4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27,047</w:t>
            </w:r>
          </w:p>
        </w:tc>
        <w:tc>
          <w:tcPr>
            <w:tcW w:w="4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5,475</w:t>
            </w:r>
          </w:p>
        </w:tc>
        <w:tc>
          <w:tcPr>
            <w:tcW w:w="0" w:type="dxa"/>
            <w:vAlign w:val="bottom"/>
          </w:tcPr>
          <w:p>
            <w:pPr>
              <w:spacing w:after="0"/>
              <w:rPr>
                <w:sz w:val="1"/>
                <w:szCs w:val="1"/>
                <w:color w:val="auto"/>
              </w:rPr>
            </w:pPr>
          </w:p>
        </w:tc>
      </w:tr>
      <w:tr>
        <w:trPr>
          <w:trHeight w:val="193"/>
        </w:trPr>
        <w:tc>
          <w:tcPr>
            <w:tcW w:w="5620" w:type="dxa"/>
            <w:vAlign w:val="bottom"/>
          </w:tcPr>
          <w:p>
            <w:pPr>
              <w:ind w:left="140"/>
              <w:spacing w:after="0" w:line="193" w:lineRule="exact"/>
              <w:rPr>
                <w:sz w:val="20"/>
                <w:szCs w:val="20"/>
                <w:color w:val="auto"/>
              </w:rPr>
            </w:pPr>
            <w:r>
              <w:rPr>
                <w:rFonts w:ascii="Times New Roman" w:cs="Times New Roman" w:eastAsia="Times New Roman" w:hAnsi="Times New Roman"/>
                <w:sz w:val="20"/>
                <w:szCs w:val="20"/>
                <w:color w:val="auto"/>
              </w:rPr>
              <w:t>Interest received on securities retained from Structured Program</w:t>
            </w:r>
          </w:p>
        </w:tc>
        <w:tc>
          <w:tcPr>
            <w:tcW w:w="60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203,138</w:t>
            </w:r>
          </w:p>
        </w:tc>
        <w:tc>
          <w:tcPr>
            <w:tcW w:w="4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164,807</w:t>
            </w:r>
          </w:p>
        </w:tc>
        <w:tc>
          <w:tcPr>
            <w:tcW w:w="44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22,786</w:t>
            </w:r>
          </w:p>
        </w:tc>
        <w:tc>
          <w:tcPr>
            <w:tcW w:w="0" w:type="dxa"/>
            <w:vAlign w:val="bottom"/>
          </w:tcPr>
          <w:p>
            <w:pPr>
              <w:spacing w:after="0"/>
              <w:rPr>
                <w:sz w:val="1"/>
                <w:szCs w:val="1"/>
                <w:color w:val="auto"/>
              </w:rPr>
            </w:pPr>
          </w:p>
        </w:tc>
      </w:tr>
      <w:tr>
        <w:trPr>
          <w:trHeight w:val="252"/>
        </w:trPr>
        <w:tc>
          <w:tcPr>
            <w:tcW w:w="5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transactions</w:t>
            </w:r>
          </w:p>
        </w:tc>
        <w:tc>
          <w:tcPr>
            <w:tcW w:w="60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40" w:hanging="332"/>
        <w:spacing w:after="0" w:line="221" w:lineRule="auto"/>
        <w:tabs>
          <w:tab w:leader="none" w:pos="294"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Consists primarily of servicing assets recognized at the time of loan sale, less any transaction costs, and excludes origination fees and fair value adjustments recognized prior to the sale.</w:t>
      </w:r>
    </w:p>
    <w:p>
      <w:pPr>
        <w:spacing w:after="0" w:line="22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As of December 31, 2025, the aggregate unpaid principal balance attributable to off-balance sheet loans held by unconsolidated VIEs was $4.4 billion, of which $64.9 million was 30 days or more past due. As of December 31, 2024, the aggregate unpaid principal balance attributable to off-balance sheet loans held by unconsolidated VIEs was $3.5 billion, of which $44.7 million was 30 days or more past due. For such loans, the Company would only experience a loss if it was required to repurchase a loan due to a breach in representations and warranties associated with its loan sale or servicing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Fair Value Measurements</w:t>
      </w:r>
    </w:p>
    <w:p>
      <w:pPr>
        <w:spacing w:after="0" w:line="25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color w:val="auto"/>
        </w:rPr>
        <w:t>For a description of the fair value hierarchy and the Company’s fair value methodologies, see “</w:t>
      </w:r>
      <w:r>
        <w:rPr>
          <w:rFonts w:ascii="Times New Roman" w:cs="Times New Roman" w:eastAsia="Times New Roman" w:hAnsi="Times New Roman"/>
          <w:sz w:val="20"/>
          <w:szCs w:val="20"/>
          <w:i w:val="1"/>
          <w:iCs w:val="1"/>
          <w:color w:val="auto"/>
        </w:rPr>
        <w:t>Note 1. 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Policies.</w:t>
      </w:r>
      <w:r>
        <w:rPr>
          <w:rFonts w:ascii="Times New Roman" w:cs="Times New Roman" w:eastAsia="Times New Roman" w:hAnsi="Times New Roman"/>
          <w:sz w:val="20"/>
          <w:szCs w:val="20"/>
          <w:color w:val="auto"/>
        </w:rPr>
        <w:t>” The Company records certain assets and liabilities at fair value as listed in the following tables.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Recurring Fair Value Measurements</w:t>
      </w:r>
    </w:p>
    <w:p>
      <w:pPr>
        <w:spacing w:after="0" w:line="247"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20"/>
          <w:szCs w:val="20"/>
          <w:color w:val="auto"/>
        </w:rPr>
        <w:t>The following tables present, by level within the fair value hierarchy, the Company’s assets and liabilities measured at fair value on a 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4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61"/>
              <w:spacing w:after="0" w:line="203" w:lineRule="exact"/>
              <w:rPr>
                <w:sz w:val="20"/>
                <w:szCs w:val="20"/>
                <w:color w:val="auto"/>
              </w:rPr>
            </w:pPr>
            <w:r>
              <w:rPr>
                <w:rFonts w:ascii="Times New Roman" w:cs="Times New Roman" w:eastAsia="Times New Roman" w:hAnsi="Times New Roman"/>
                <w:sz w:val="20"/>
                <w:szCs w:val="20"/>
                <w:b w:val="1"/>
                <w:bCs w:val="1"/>
                <w:color w:val="auto"/>
                <w:w w:val="99"/>
              </w:rPr>
              <w:t>Balance at Fair</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held for sale at fair value</w:t>
            </w: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1,762,396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1,762,396</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473,314</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473,314</w:t>
            </w:r>
          </w:p>
        </w:tc>
        <w:tc>
          <w:tcPr>
            <w:tcW w:w="0" w:type="dxa"/>
            <w:vAlign w:val="bottom"/>
          </w:tcPr>
          <w:p>
            <w:pPr>
              <w:spacing w:after="0"/>
              <w:rPr>
                <w:sz w:val="1"/>
                <w:szCs w:val="1"/>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20"/>
                <w:szCs w:val="20"/>
                <w:color w:val="auto"/>
              </w:rPr>
              <w:t>Senior asset-backed securities related to Structured</w:t>
            </w:r>
          </w:p>
        </w:tc>
        <w:tc>
          <w:tcPr>
            <w:tcW w:w="4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3,092,410</w:t>
            </w:r>
          </w:p>
        </w:tc>
        <w:tc>
          <w:tcPr>
            <w:tcW w:w="2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3,092,410</w:t>
            </w: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Program transactions</w:t>
            </w:r>
          </w:p>
        </w:tc>
        <w:tc>
          <w:tcPr>
            <w:tcW w:w="460" w:type="dxa"/>
            <w:vAlign w:val="bottom"/>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agency residential mortgage-backed securities</w:t>
            </w:r>
          </w:p>
        </w:tc>
        <w:tc>
          <w:tcPr>
            <w:tcW w:w="460" w:type="dxa"/>
            <w:vAlign w:val="bottom"/>
          </w:tcPr>
          <w:p>
            <w:pPr>
              <w:spacing w:after="0"/>
              <w:rPr>
                <w:sz w:val="22"/>
                <w:szCs w:val="22"/>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236,061</w:t>
            </w:r>
          </w:p>
        </w:tc>
        <w:tc>
          <w:tcPr>
            <w:tcW w:w="40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236,061</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20"/>
                <w:szCs w:val="20"/>
                <w:color w:val="auto"/>
              </w:rPr>
              <w:t>Other asset-backed securities related to Structured</w:t>
            </w:r>
          </w:p>
        </w:tc>
        <w:tc>
          <w:tcPr>
            <w:tcW w:w="4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219,370</w:t>
            </w:r>
          </w:p>
        </w:tc>
        <w:tc>
          <w:tcPr>
            <w:tcW w:w="2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219,370</w:t>
            </w: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Program transactions</w:t>
            </w:r>
          </w:p>
        </w:tc>
        <w:tc>
          <w:tcPr>
            <w:tcW w:w="460" w:type="dxa"/>
            <w:vAlign w:val="bottom"/>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vMerge w:val="continue"/>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agency securities</w:t>
            </w:r>
          </w:p>
        </w:tc>
        <w:tc>
          <w:tcPr>
            <w:tcW w:w="460" w:type="dxa"/>
            <w:vAlign w:val="bottom"/>
          </w:tcPr>
          <w:p>
            <w:pPr>
              <w:spacing w:after="0"/>
              <w:rPr>
                <w:sz w:val="22"/>
                <w:szCs w:val="22"/>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73,862</w:t>
            </w:r>
          </w:p>
        </w:tc>
        <w:tc>
          <w:tcPr>
            <w:tcW w:w="40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73,862</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55,597</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55,597</w:t>
            </w:r>
          </w:p>
        </w:tc>
        <w:tc>
          <w:tcPr>
            <w:tcW w:w="0" w:type="dxa"/>
            <w:vAlign w:val="bottom"/>
          </w:tcPr>
          <w:p>
            <w:pPr>
              <w:spacing w:after="0"/>
              <w:rPr>
                <w:sz w:val="1"/>
                <w:szCs w:val="1"/>
                <w:color w:val="auto"/>
              </w:rPr>
            </w:pPr>
          </w:p>
        </w:tc>
      </w:tr>
      <w:tr>
        <w:trPr>
          <w:trHeight w:val="257"/>
        </w:trPr>
        <w:tc>
          <w:tcPr>
            <w:tcW w:w="4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Municipal securities</w:t>
            </w:r>
          </w:p>
        </w:tc>
        <w:tc>
          <w:tcPr>
            <w:tcW w:w="460" w:type="dxa"/>
            <w:vAlign w:val="bottom"/>
          </w:tcPr>
          <w:p>
            <w:pPr>
              <w:spacing w:after="0"/>
              <w:rPr>
                <w:sz w:val="22"/>
                <w:szCs w:val="22"/>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2,606</w:t>
            </w:r>
          </w:p>
        </w:tc>
        <w:tc>
          <w:tcPr>
            <w:tcW w:w="40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securities</w:t>
            </w:r>
          </w:p>
        </w:tc>
        <w:tc>
          <w:tcPr>
            <w:tcW w:w="4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16,720</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10,083</w:t>
            </w: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26,803</w:t>
            </w:r>
          </w:p>
        </w:tc>
        <w:tc>
          <w:tcPr>
            <w:tcW w:w="0" w:type="dxa"/>
            <w:vAlign w:val="bottom"/>
          </w:tcPr>
          <w:p>
            <w:pPr>
              <w:spacing w:after="0"/>
              <w:rPr>
                <w:sz w:val="1"/>
                <w:szCs w:val="1"/>
                <w:color w:val="auto"/>
              </w:rPr>
            </w:pPr>
          </w:p>
        </w:tc>
      </w:tr>
      <w:tr>
        <w:trPr>
          <w:trHeight w:val="250"/>
        </w:trPr>
        <w:tc>
          <w:tcPr>
            <w:tcW w:w="4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securities available for sale</w:t>
            </w:r>
          </w:p>
        </w:tc>
        <w:tc>
          <w:tcPr>
            <w:tcW w:w="4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1"/>
                <w:szCs w:val="21"/>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384,846</w:t>
            </w:r>
          </w:p>
        </w:tc>
        <w:tc>
          <w:tcPr>
            <w:tcW w:w="40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3,321,863</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3,706,709</w:t>
            </w: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Servicing assets</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65,167</w:t>
            </w: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65,167</w:t>
            </w:r>
          </w:p>
        </w:tc>
        <w:tc>
          <w:tcPr>
            <w:tcW w:w="0" w:type="dxa"/>
            <w:vAlign w:val="bottom"/>
          </w:tcPr>
          <w:p>
            <w:pPr>
              <w:spacing w:after="0"/>
              <w:rPr>
                <w:sz w:val="1"/>
                <w:szCs w:val="1"/>
                <w:color w:val="auto"/>
              </w:rPr>
            </w:pPr>
          </w:p>
        </w:tc>
      </w:tr>
      <w:tr>
        <w:trPr>
          <w:trHeight w:val="256"/>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2,099</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0" w:type="dxa"/>
            <w:vAlign w:val="bottom"/>
          </w:tcPr>
          <w:p>
            <w:pPr>
              <w:spacing w:after="0"/>
              <w:rPr>
                <w:sz w:val="1"/>
                <w:szCs w:val="1"/>
                <w:color w:val="auto"/>
              </w:rPr>
            </w:pPr>
          </w:p>
        </w:tc>
      </w:tr>
      <w:tr>
        <w:trPr>
          <w:trHeight w:val="275"/>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386,945</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5,622,740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6,009,685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4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3,918</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5,783</w:t>
            </w:r>
          </w:p>
        </w:tc>
        <w:tc>
          <w:tcPr>
            <w:tcW w:w="0" w:type="dxa"/>
            <w:vAlign w:val="bottom"/>
          </w:tcPr>
          <w:p>
            <w:pPr>
              <w:spacing w:after="0"/>
              <w:rPr>
                <w:sz w:val="1"/>
                <w:szCs w:val="1"/>
                <w:color w:val="auto"/>
              </w:rPr>
            </w:pPr>
          </w:p>
        </w:tc>
      </w:tr>
      <w:tr>
        <w:trPr>
          <w:trHeight w:val="275"/>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3,918</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1,865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5,783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61"/>
              <w:spacing w:after="0" w:line="203" w:lineRule="exact"/>
              <w:rPr>
                <w:sz w:val="20"/>
                <w:szCs w:val="20"/>
                <w:color w:val="auto"/>
              </w:rPr>
            </w:pPr>
            <w:r>
              <w:rPr>
                <w:rFonts w:ascii="Times New Roman" w:cs="Times New Roman" w:eastAsia="Times New Roman" w:hAnsi="Times New Roman"/>
                <w:sz w:val="20"/>
                <w:szCs w:val="20"/>
                <w:b w:val="1"/>
                <w:bCs w:val="1"/>
                <w:color w:val="auto"/>
              </w:rPr>
              <w:t>Balance at Fair</w:t>
            </w:r>
          </w:p>
        </w:tc>
        <w:tc>
          <w:tcPr>
            <w:tcW w:w="0" w:type="dxa"/>
            <w:vAlign w:val="bottom"/>
          </w:tcPr>
          <w:p>
            <w:pPr>
              <w:spacing w:after="0"/>
              <w:rPr>
                <w:sz w:val="1"/>
                <w:szCs w:val="1"/>
                <w:color w:val="auto"/>
              </w:rPr>
            </w:pPr>
          </w:p>
        </w:tc>
      </w:tr>
      <w:tr>
        <w:trPr>
          <w:trHeight w:val="256"/>
        </w:trPr>
        <w:tc>
          <w:tcPr>
            <w:tcW w:w="430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held for sale at fair value</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636,352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636,352</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1,027,798</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1,027,798</w:t>
            </w:r>
          </w:p>
        </w:tc>
        <w:tc>
          <w:tcPr>
            <w:tcW w:w="0" w:type="dxa"/>
            <w:vAlign w:val="bottom"/>
          </w:tcPr>
          <w:p>
            <w:pPr>
              <w:spacing w:after="0"/>
              <w:rPr>
                <w:sz w:val="1"/>
                <w:szCs w:val="1"/>
                <w:color w:val="auto"/>
              </w:rPr>
            </w:pPr>
          </w:p>
        </w:tc>
      </w:tr>
      <w:tr>
        <w:trPr>
          <w:trHeight w:val="257"/>
        </w:trPr>
        <w:tc>
          <w:tcPr>
            <w:tcW w:w="4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40"/>
              <w:spacing w:after="0" w:line="193" w:lineRule="exact"/>
              <w:rPr>
                <w:sz w:val="20"/>
                <w:szCs w:val="20"/>
                <w:color w:val="auto"/>
              </w:rPr>
            </w:pPr>
            <w:r>
              <w:rPr>
                <w:rFonts w:ascii="Times New Roman" w:cs="Times New Roman" w:eastAsia="Times New Roman" w:hAnsi="Times New Roman"/>
                <w:sz w:val="20"/>
                <w:szCs w:val="20"/>
                <w:color w:val="auto"/>
              </w:rPr>
              <w:t>Senior asset-backed securities related to Structured</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2,899,824</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2,899,824</w:t>
            </w:r>
          </w:p>
        </w:tc>
        <w:tc>
          <w:tcPr>
            <w:tcW w:w="0" w:type="dxa"/>
            <w:vAlign w:val="bottom"/>
          </w:tcPr>
          <w:p>
            <w:pPr>
              <w:spacing w:after="0"/>
              <w:rPr>
                <w:sz w:val="1"/>
                <w:szCs w:val="1"/>
                <w:color w:val="auto"/>
              </w:rPr>
            </w:pPr>
          </w:p>
        </w:tc>
      </w:tr>
      <w:tr>
        <w:trPr>
          <w:trHeight w:val="252"/>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Program transactions</w:t>
            </w: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agency residential mortgage-backed securities</w:t>
            </w:r>
          </w:p>
        </w:tc>
        <w:tc>
          <w:tcPr>
            <w:tcW w:w="400" w:type="dxa"/>
            <w:vAlign w:val="bottom"/>
          </w:tcPr>
          <w:p>
            <w:pPr>
              <w:spacing w:after="0"/>
              <w:rPr>
                <w:sz w:val="22"/>
                <w:szCs w:val="22"/>
                <w:color w:val="auto"/>
              </w:rPr>
            </w:pPr>
          </w:p>
        </w:tc>
        <w:tc>
          <w:tcPr>
            <w:tcW w:w="1340" w:type="dxa"/>
            <w:vAlign w:val="bottom"/>
          </w:tcPr>
          <w:p>
            <w:pPr>
              <w:ind w:left="10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226,925</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226,925</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80"/>
              <w:spacing w:after="0" w:line="193" w:lineRule="exact"/>
              <w:rPr>
                <w:sz w:val="20"/>
                <w:szCs w:val="20"/>
                <w:color w:val="auto"/>
              </w:rPr>
            </w:pPr>
            <w:r>
              <w:rPr>
                <w:rFonts w:ascii="Times New Roman" w:cs="Times New Roman" w:eastAsia="Times New Roman" w:hAnsi="Times New Roman"/>
                <w:sz w:val="20"/>
                <w:szCs w:val="20"/>
                <w:color w:val="auto"/>
              </w:rPr>
              <w:t>Other asset-backed securities related to Structured</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169,948</w:t>
            </w:r>
          </w:p>
        </w:tc>
        <w:tc>
          <w:tcPr>
            <w:tcW w:w="22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169,948</w:t>
            </w:r>
          </w:p>
        </w:tc>
        <w:tc>
          <w:tcPr>
            <w:tcW w:w="0" w:type="dxa"/>
            <w:vAlign w:val="bottom"/>
          </w:tcPr>
          <w:p>
            <w:pPr>
              <w:spacing w:after="0"/>
              <w:rPr>
                <w:sz w:val="1"/>
                <w:szCs w:val="1"/>
                <w:color w:val="auto"/>
              </w:rPr>
            </w:pPr>
          </w:p>
        </w:tc>
      </w:tr>
      <w:tr>
        <w:trPr>
          <w:trHeight w:val="252"/>
        </w:trPr>
        <w:tc>
          <w:tcPr>
            <w:tcW w:w="4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Program transactions</w:t>
            </w: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 agency securities</w:t>
            </w:r>
          </w:p>
        </w:tc>
        <w:tc>
          <w:tcPr>
            <w:tcW w:w="400" w:type="dxa"/>
            <w:vAlign w:val="bottom"/>
          </w:tcPr>
          <w:p>
            <w:pPr>
              <w:spacing w:after="0"/>
              <w:rPr>
                <w:sz w:val="22"/>
                <w:szCs w:val="22"/>
                <w:color w:val="auto"/>
              </w:rPr>
            </w:pPr>
          </w:p>
        </w:tc>
        <w:tc>
          <w:tcPr>
            <w:tcW w:w="1340" w:type="dxa"/>
            <w:vAlign w:val="bottom"/>
          </w:tcPr>
          <w:p>
            <w:pPr>
              <w:ind w:left="10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75,946</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75,946</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Mortgage-backed securities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56,674</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56,674</w:t>
            </w:r>
          </w:p>
        </w:tc>
        <w:tc>
          <w:tcPr>
            <w:tcW w:w="0" w:type="dxa"/>
            <w:vAlign w:val="bottom"/>
          </w:tcPr>
          <w:p>
            <w:pPr>
              <w:spacing w:after="0"/>
              <w:rPr>
                <w:sz w:val="1"/>
                <w:szCs w:val="1"/>
                <w:color w:val="auto"/>
              </w:rPr>
            </w:pPr>
          </w:p>
        </w:tc>
      </w:tr>
      <w:tr>
        <w:trPr>
          <w:trHeight w:val="257"/>
        </w:trPr>
        <w:tc>
          <w:tcPr>
            <w:tcW w:w="43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Municipal securities</w:t>
            </w:r>
          </w:p>
        </w:tc>
        <w:tc>
          <w:tcPr>
            <w:tcW w:w="400" w:type="dxa"/>
            <w:vAlign w:val="bottom"/>
          </w:tcPr>
          <w:p>
            <w:pPr>
              <w:spacing w:after="0"/>
              <w:rPr>
                <w:sz w:val="22"/>
                <w:szCs w:val="22"/>
                <w:color w:val="auto"/>
              </w:rPr>
            </w:pPr>
          </w:p>
        </w:tc>
        <w:tc>
          <w:tcPr>
            <w:tcW w:w="1340" w:type="dxa"/>
            <w:vAlign w:val="bottom"/>
          </w:tcPr>
          <w:p>
            <w:pPr>
              <w:ind w:left="10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2,539</w:t>
            </w:r>
          </w:p>
        </w:tc>
        <w:tc>
          <w:tcPr>
            <w:tcW w:w="400" w:type="dxa"/>
            <w:vAlign w:val="bottom"/>
          </w:tcPr>
          <w:p>
            <w:pPr>
              <w:spacing w:after="0"/>
              <w:rPr>
                <w:sz w:val="22"/>
                <w:szCs w:val="22"/>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w:t>
            </w:r>
          </w:p>
        </w:tc>
        <w:tc>
          <w:tcPr>
            <w:tcW w:w="0" w:type="dxa"/>
            <w:vAlign w:val="bottom"/>
          </w:tcPr>
          <w:p>
            <w:pPr>
              <w:spacing w:after="0"/>
              <w:rPr>
                <w:sz w:val="1"/>
                <w:szCs w:val="1"/>
                <w:color w:val="auto"/>
              </w:rPr>
            </w:pPr>
          </w:p>
        </w:tc>
      </w:tr>
      <w:tr>
        <w:trPr>
          <w:trHeight w:val="257"/>
        </w:trPr>
        <w:tc>
          <w:tcPr>
            <w:tcW w:w="4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securities</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20,792</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20,792</w:t>
            </w:r>
          </w:p>
        </w:tc>
        <w:tc>
          <w:tcPr>
            <w:tcW w:w="0" w:type="dxa"/>
            <w:vAlign w:val="bottom"/>
          </w:tcPr>
          <w:p>
            <w:pPr>
              <w:spacing w:after="0"/>
              <w:rPr>
                <w:sz w:val="1"/>
                <w:szCs w:val="1"/>
                <w:color w:val="auto"/>
              </w:rPr>
            </w:pPr>
          </w:p>
        </w:tc>
      </w:tr>
      <w:tr>
        <w:trPr>
          <w:trHeight w:val="250"/>
        </w:trPr>
        <w:tc>
          <w:tcPr>
            <w:tcW w:w="4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securities available for sale</w:t>
            </w:r>
          </w:p>
        </w:tc>
        <w:tc>
          <w:tcPr>
            <w:tcW w:w="40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382,876</w:t>
            </w:r>
          </w:p>
        </w:tc>
        <w:tc>
          <w:tcPr>
            <w:tcW w:w="40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3,069,772</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3,452,648</w:t>
            </w: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Servicing assets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60,697</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60,697</w:t>
            </w:r>
          </w:p>
        </w:tc>
        <w:tc>
          <w:tcPr>
            <w:tcW w:w="0" w:type="dxa"/>
            <w:vAlign w:val="bottom"/>
          </w:tcPr>
          <w:p>
            <w:pPr>
              <w:spacing w:after="0"/>
              <w:rPr>
                <w:sz w:val="1"/>
                <w:szCs w:val="1"/>
                <w:color w:val="auto"/>
              </w:rPr>
            </w:pPr>
          </w:p>
        </w:tc>
      </w:tr>
      <w:tr>
        <w:trPr>
          <w:trHeight w:val="257"/>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5,820</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5,820</w:t>
            </w:r>
          </w:p>
        </w:tc>
        <w:tc>
          <w:tcPr>
            <w:tcW w:w="0" w:type="dxa"/>
            <w:vAlign w:val="bottom"/>
          </w:tcPr>
          <w:p>
            <w:pPr>
              <w:spacing w:after="0"/>
              <w:rPr>
                <w:sz w:val="1"/>
                <w:szCs w:val="1"/>
                <w:color w:val="auto"/>
              </w:rPr>
            </w:pPr>
          </w:p>
        </w:tc>
      </w:tr>
      <w:tr>
        <w:trPr>
          <w:trHeight w:val="275"/>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388,696</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4,794,619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5,183,315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5,019</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11,799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16,818</w:t>
            </w:r>
          </w:p>
        </w:tc>
        <w:tc>
          <w:tcPr>
            <w:tcW w:w="0" w:type="dxa"/>
            <w:vAlign w:val="bottom"/>
          </w:tcPr>
          <w:p>
            <w:pPr>
              <w:spacing w:after="0"/>
              <w:rPr>
                <w:sz w:val="1"/>
                <w:szCs w:val="1"/>
                <w:color w:val="auto"/>
              </w:rPr>
            </w:pPr>
          </w:p>
        </w:tc>
      </w:tr>
      <w:tr>
        <w:trPr>
          <w:trHeight w:val="275"/>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5,019</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11,799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16,818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Financial instruments are categorized in the valuation hierarchy based on the significance of observable or unobservable factors in the overall fair value measurement. For the financial instruments listed in the tables above that do not trade in an active market with readily observable prices, the Company uses significant unobservable inputs to measure the fair value of these assets and liabilities. The Company primarily uses a DCF model to estimate the fair value of Level 3 instruments based on the present value of estimated future cash flows. This model uses inputs that inherently require judgment and reflect the Company’s best estimates of the assumptions a market participant would use to calculate fair value. The Company did not transfer any assets or liabilities in or out of Level 3 during the years ended December 31, 2025 or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significant unobservable inputs, as applicable, were used in the fair value measurement of the Company’s Level 3 assets:</w:t>
      </w:r>
    </w:p>
    <w:p>
      <w:pPr>
        <w:spacing w:after="0" w:line="50" w:lineRule="exact"/>
        <w:rPr>
          <w:sz w:val="20"/>
          <w:szCs w:val="20"/>
          <w:color w:val="auto"/>
        </w:rPr>
      </w:pPr>
    </w:p>
    <w:p>
      <w:pPr>
        <w:ind w:left="660" w:right="260" w:hanging="328"/>
        <w:spacing w:after="0" w:line="281"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Discount rate </w:t>
      </w:r>
      <w:r>
        <w:rPr>
          <w:rFonts w:ascii="Times New Roman" w:cs="Times New Roman" w:eastAsia="Times New Roman" w:hAnsi="Times New Roman"/>
          <w:sz w:val="20"/>
          <w:szCs w:val="20"/>
          <w:color w:val="auto"/>
        </w:rPr>
        <w:t>– The weighted-average rate at which the expected cash flows are discounted to arrive at the net present value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The discount rate is primarily determined based on marketplace investor return expectations.</w:t>
      </w:r>
    </w:p>
    <w:p>
      <w:pPr>
        <w:spacing w:after="0" w:line="1" w:lineRule="exact"/>
        <w:rPr>
          <w:rFonts w:ascii="Times New Roman" w:cs="Times New Roman" w:eastAsia="Times New Roman" w:hAnsi="Times New Roman"/>
          <w:sz w:val="20"/>
          <w:szCs w:val="20"/>
          <w:color w:val="auto"/>
        </w:rPr>
      </w:pPr>
    </w:p>
    <w:p>
      <w:pPr>
        <w:ind w:left="660" w:right="540" w:hanging="328"/>
        <w:spacing w:after="0" w:line="273"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Annualized net credit loss rate </w:t>
      </w:r>
      <w:r>
        <w:rPr>
          <w:rFonts w:ascii="Times New Roman" w:cs="Times New Roman" w:eastAsia="Times New Roman" w:hAnsi="Times New Roman"/>
          <w:sz w:val="20"/>
          <w:szCs w:val="20"/>
          <w:color w:val="auto"/>
        </w:rPr>
        <w:t>– The annualized rate of lifetime charge-offs, net of recoveries, expressed as a percentage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average lifetime principal balance of loan pools with similar risk characteristics.</w:t>
      </w:r>
    </w:p>
    <w:p>
      <w:pPr>
        <w:spacing w:after="0" w:line="3" w:lineRule="exact"/>
        <w:rPr>
          <w:rFonts w:ascii="Times New Roman" w:cs="Times New Roman" w:eastAsia="Times New Roman" w:hAnsi="Times New Roman"/>
          <w:sz w:val="20"/>
          <w:szCs w:val="20"/>
          <w:color w:val="auto"/>
        </w:rPr>
      </w:pPr>
    </w:p>
    <w:p>
      <w:pPr>
        <w:ind w:left="660" w:right="740" w:hanging="328"/>
        <w:spacing w:after="0" w:line="273"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Annualized prepayment rate </w:t>
      </w:r>
      <w:r>
        <w:rPr>
          <w:rFonts w:ascii="Times New Roman" w:cs="Times New Roman" w:eastAsia="Times New Roman" w:hAnsi="Times New Roman"/>
          <w:sz w:val="20"/>
          <w:szCs w:val="20"/>
          <w:color w:val="auto"/>
        </w:rPr>
        <w:t>– The annualized rate of lifetime prepayments expressed as a percentage of the average lifetime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principal balance of loan pools with similar risk characteristics.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increase in each of the inputs above, in isolation, would result in a decrease in the fair value measurement.</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sensitivity calculations are hypothetical and should not be considered to be predictive of future performance. The effect on fair value of a variation in assumptions generally cannot be determined because the relationship of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change in assumptions to the fair value may not be linear. Changes in one factor may lead to changes in other factors, which could impact the hypothetical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Sale at Fair Value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Significant Unobservable Inputs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significant unobservable inputs were used in the fair value measurement of HFS loans: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780" w:type="dxa"/>
            <w:vAlign w:val="bottom"/>
            <w:tcBorders>
              <w:top w:val="single" w:sz="8" w:color="auto"/>
            </w:tcBorders>
          </w:tcPr>
          <w:p>
            <w:pPr>
              <w:spacing w:after="0"/>
              <w:rPr>
                <w:sz w:val="23"/>
                <w:szCs w:val="23"/>
                <w:color w:val="auto"/>
              </w:rPr>
            </w:pPr>
          </w:p>
        </w:tc>
        <w:tc>
          <w:tcPr>
            <w:tcW w:w="2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1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98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18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6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0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180" w:type="dxa"/>
            <w:vAlign w:val="bottom"/>
          </w:tcPr>
          <w:p>
            <w:pPr>
              <w:ind w:left="100"/>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120" w:type="dxa"/>
            <w:vAlign w:val="bottom"/>
          </w:tcPr>
          <w:p>
            <w:pPr>
              <w:spacing w:after="0"/>
              <w:rPr>
                <w:sz w:val="15"/>
                <w:szCs w:val="15"/>
                <w:color w:val="auto"/>
              </w:rPr>
            </w:pPr>
          </w:p>
        </w:tc>
        <w:tc>
          <w:tcPr>
            <w:tcW w:w="146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2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180" w:type="dxa"/>
            <w:vAlign w:val="bottom"/>
          </w:tcPr>
          <w:p>
            <w:pPr>
              <w:jc w:val="right"/>
              <w:ind w:right="121"/>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0" w:type="dxa"/>
            <w:vAlign w:val="bottom"/>
          </w:tcPr>
          <w:p>
            <w:pPr>
              <w:spacing w:after="0"/>
              <w:rPr>
                <w:sz w:val="1"/>
                <w:szCs w:val="1"/>
                <w:color w:val="auto"/>
              </w:rPr>
            </w:pPr>
          </w:p>
        </w:tc>
      </w:tr>
      <w:tr>
        <w:trPr>
          <w:trHeight w:val="256"/>
        </w:trPr>
        <w:tc>
          <w:tcPr>
            <w:tcW w:w="27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gridSpan w:val="2"/>
          </w:tcPr>
          <w:p>
            <w:pPr>
              <w:ind w:left="80"/>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(1)</w:t>
            </w:r>
          </w:p>
        </w:tc>
        <w:tc>
          <w:tcPr>
            <w:tcW w:w="1460" w:type="dxa"/>
            <w:vAlign w:val="bottom"/>
            <w:tcBorders>
              <w:bottom w:val="single" w:sz="8" w:color="auto"/>
            </w:tcBorders>
            <w:vMerge w:val="continue"/>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tcPr>
          <w:p>
            <w:pPr>
              <w:jc w:val="right"/>
              <w:ind w:right="121"/>
              <w:spacing w:after="0" w:line="256" w:lineRule="exact"/>
              <w:rPr>
                <w:sz w:val="20"/>
                <w:szCs w:val="20"/>
                <w:color w:val="auto"/>
              </w:rPr>
            </w:pPr>
            <w:r>
              <w:rPr>
                <w:rFonts w:ascii="Times New Roman" w:cs="Times New Roman" w:eastAsia="Times New Roman" w:hAnsi="Times New Roman"/>
                <w:sz w:val="20"/>
                <w:szCs w:val="20"/>
                <w:b w:val="1"/>
                <w:bCs w:val="1"/>
                <w:color w:val="auto"/>
                <w:w w:val="98"/>
              </w:rPr>
              <w:t xml:space="preserve">Average </w:t>
            </w:r>
            <w:r>
              <w:rPr>
                <w:rFonts w:ascii="Times New Roman" w:cs="Times New Roman" w:eastAsia="Times New Roman" w:hAnsi="Times New Roman"/>
                <w:sz w:val="25"/>
                <w:szCs w:val="25"/>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4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6.6 %</w:t>
            </w:r>
          </w:p>
        </w:tc>
        <w:tc>
          <w:tcPr>
            <w:tcW w:w="15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7.1 %</w:t>
            </w:r>
          </w:p>
        </w:tc>
        <w:tc>
          <w:tcPr>
            <w:tcW w:w="15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11.9 %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0" w:type="dxa"/>
            <w:vAlign w:val="bottom"/>
          </w:tcPr>
          <w:p>
            <w:pPr>
              <w:spacing w:after="0"/>
              <w:rPr>
                <w:sz w:val="1"/>
                <w:szCs w:val="1"/>
                <w:color w:val="auto"/>
              </w:rPr>
            </w:pPr>
          </w:p>
        </w:tc>
      </w:tr>
      <w:tr>
        <w:trPr>
          <w:trHeight w:val="257"/>
        </w:trPr>
        <w:tc>
          <w:tcPr>
            <w:tcW w:w="2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3.3 %</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16.0 %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6.3 %</w:t>
            </w:r>
          </w:p>
        </w:tc>
        <w:tc>
          <w:tcPr>
            <w:tcW w:w="120" w:type="dxa"/>
            <w:vAlign w:val="bottom"/>
          </w:tcPr>
          <w:p>
            <w:pPr>
              <w:spacing w:after="0"/>
              <w:rPr>
                <w:sz w:val="22"/>
                <w:szCs w:val="22"/>
                <w:color w:val="auto"/>
              </w:rPr>
            </w:pP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1.8 %</w:t>
            </w:r>
          </w:p>
        </w:tc>
        <w:tc>
          <w:tcPr>
            <w:tcW w:w="1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21.2 %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20.5 %</w:t>
            </w:r>
          </w:p>
        </w:tc>
        <w:tc>
          <w:tcPr>
            <w:tcW w:w="15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26.0 %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25.5 %</w:t>
            </w: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15.0 %</w:t>
            </w:r>
          </w:p>
        </w:tc>
        <w:tc>
          <w:tcPr>
            <w:tcW w:w="15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27.6 %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1640" w:firstLine="8"/>
        <w:spacing w:after="0" w:line="434" w:lineRule="auto"/>
        <w:tabs>
          <w:tab w:leader="none" w:pos="278" w:val="left"/>
        </w:tabs>
        <w:numPr>
          <w:ilvl w:val="0"/>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The weighted-average rate is calculated using the principal balance of each loan pool with similar risk characteristics. </w:t>
      </w:r>
      <w:r>
        <w:rPr>
          <w:rFonts w:ascii="Times New Roman" w:cs="Times New Roman" w:eastAsia="Times New Roman" w:hAnsi="Times New Roman"/>
          <w:sz w:val="20"/>
          <w:szCs w:val="20"/>
          <w:u w:val="single" w:color="auto"/>
          <w:color w:val="auto"/>
        </w:rPr>
        <w:t>Fair Value Sensitivity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sensitivity of HFS loans at fair value to adverse changes in key assumptions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Borders>
              <w:top w:val="single" w:sz="8" w:color="auto"/>
              <w:bottom w:val="single" w:sz="8" w:color="auto"/>
            </w:tcBorders>
          </w:tcPr>
          <w:p>
            <w:pPr>
              <w:spacing w:after="0"/>
              <w:rPr>
                <w:sz w:val="23"/>
                <w:szCs w:val="23"/>
                <w:color w:val="auto"/>
              </w:rPr>
            </w:pPr>
          </w:p>
        </w:tc>
        <w:tc>
          <w:tcPr>
            <w:tcW w:w="34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top w:val="single" w:sz="8" w:color="auto"/>
              <w:bottom w:val="single" w:sz="8" w:color="auto"/>
            </w:tcBorders>
          </w:tcPr>
          <w:p>
            <w:pPr>
              <w:spacing w:after="0"/>
              <w:rPr>
                <w:sz w:val="23"/>
                <w:szCs w:val="23"/>
                <w:color w:val="auto"/>
              </w:rPr>
            </w:pPr>
          </w:p>
        </w:tc>
        <w:tc>
          <w:tcPr>
            <w:tcW w:w="22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sale at fair value</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1,762,396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636,352</w:t>
            </w:r>
          </w:p>
        </w:tc>
      </w:tr>
      <w:tr>
        <w:trPr>
          <w:trHeight w:val="25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Expected remaining weighted-average life (in years)</w:t>
            </w:r>
          </w:p>
        </w:tc>
        <w:tc>
          <w:tcPr>
            <w:tcW w:w="92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4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9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100 basis point increase</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(21,458)</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(7,663)</w:t>
            </w:r>
          </w:p>
        </w:tc>
      </w:tr>
      <w:tr>
        <w:trPr>
          <w:trHeight w:val="257"/>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200 basis point increase</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(42,471)</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(15,174)</w:t>
            </w:r>
          </w:p>
        </w:tc>
      </w:tr>
      <w:tr>
        <w:trPr>
          <w:trHeight w:val="25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9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(20,970)</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(6,436)</w:t>
            </w:r>
          </w:p>
        </w:tc>
      </w:tr>
      <w:tr>
        <w:trPr>
          <w:trHeight w:val="257"/>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(41,766)</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(12,937)</w:t>
            </w:r>
          </w:p>
        </w:tc>
      </w:tr>
      <w:tr>
        <w:trPr>
          <w:trHeight w:val="25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9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7"/>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(5,703)</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r>
      <w:tr>
        <w:trPr>
          <w:trHeight w:val="256"/>
        </w:trPr>
        <w:tc>
          <w:tcPr>
            <w:tcW w:w="54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(10,546)</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(2,444)</w:t>
            </w:r>
          </w:p>
        </w:tc>
      </w:tr>
      <w:tr>
        <w:trPr>
          <w:trHeight w:val="520"/>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Fair Value Reconciliation</w:t>
            </w: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1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presents HFS loans at fair value activity: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75"/>
        </w:trPr>
        <w:tc>
          <w:tcPr>
            <w:tcW w:w="548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r>
      <w:tr>
        <w:trPr>
          <w:trHeight w:val="250"/>
        </w:trPr>
        <w:tc>
          <w:tcPr>
            <w:tcW w:w="5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beginning of period</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636,352</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407,773</w:t>
            </w:r>
          </w:p>
        </w:tc>
      </w:tr>
      <w:tr>
        <w:trPr>
          <w:trHeight w:val="25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Originations and purchases</w:t>
            </w:r>
          </w:p>
        </w:tc>
        <w:tc>
          <w:tcPr>
            <w:tcW w:w="920" w:type="dxa"/>
            <w:vAlign w:val="bottom"/>
          </w:tcPr>
          <w:p>
            <w:pPr>
              <w:spacing w:after="0"/>
              <w:rPr>
                <w:sz w:val="22"/>
                <w:szCs w:val="22"/>
                <w:color w:val="auto"/>
              </w:rPr>
            </w:pP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6,962,944</w:t>
            </w:r>
          </w:p>
        </w:tc>
        <w:tc>
          <w:tcPr>
            <w:tcW w:w="34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5,194,160</w:t>
            </w:r>
          </w:p>
        </w:tc>
      </w:tr>
      <w:tr>
        <w:trPr>
          <w:trHeight w:val="257"/>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Sales</w:t>
            </w:r>
          </w:p>
        </w:tc>
        <w:tc>
          <w:tcPr>
            <w:tcW w:w="92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(5,272,927)</w:t>
            </w: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(4,576,779)</w:t>
            </w:r>
          </w:p>
        </w:tc>
      </w:tr>
      <w:tr>
        <w:trPr>
          <w:trHeight w:val="25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Principal payments</w:t>
            </w:r>
          </w:p>
        </w:tc>
        <w:tc>
          <w:tcPr>
            <w:tcW w:w="92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(420,262)</w:t>
            </w:r>
          </w:p>
        </w:tc>
        <w:tc>
          <w:tcPr>
            <w:tcW w:w="34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(231,624)</w:t>
            </w:r>
          </w:p>
        </w:tc>
      </w:tr>
      <w:tr>
        <w:trPr>
          <w:trHeight w:val="25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Realized charge-offs, net of recoveries, recorded in earnings</w:t>
            </w:r>
          </w:p>
        </w:tc>
        <w:tc>
          <w:tcPr>
            <w:tcW w:w="92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(26,993)</w:t>
            </w: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(20,336)</w:t>
            </w:r>
          </w:p>
        </w:tc>
      </w:tr>
      <w:tr>
        <w:trPr>
          <w:trHeight w:val="256"/>
        </w:trPr>
        <w:tc>
          <w:tcPr>
            <w:tcW w:w="5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Fair value adjustments recorded in earnings</w:t>
            </w:r>
          </w:p>
        </w:tc>
        <w:tc>
          <w:tcPr>
            <w:tcW w:w="9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(116,718)</w:t>
            </w:r>
          </w:p>
        </w:tc>
        <w:tc>
          <w:tcPr>
            <w:tcW w:w="3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(136,842)</w:t>
            </w:r>
          </w:p>
        </w:tc>
      </w:tr>
      <w:tr>
        <w:trPr>
          <w:trHeight w:val="275"/>
        </w:trPr>
        <w:tc>
          <w:tcPr>
            <w:tcW w:w="5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end of period</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1,762,396</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636,352</w:t>
            </w: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aggregate fair value of the Company’s HFS loans, as well as the amount that was 90 days or more past due: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3460" w:type="dxa"/>
            <w:vAlign w:val="bottom"/>
            <w:tcBorders>
              <w:top w:val="single" w:sz="8" w:color="auto"/>
            </w:tcBorders>
            <w:gridSpan w:val="4"/>
          </w:tcPr>
          <w:p>
            <w:pPr>
              <w:ind w:left="6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400" w:type="dxa"/>
            <w:vAlign w:val="bottom"/>
            <w:tcBorders>
              <w:top w:val="single" w:sz="8" w:color="auto"/>
            </w:tcBorders>
          </w:tcPr>
          <w:p>
            <w:pPr>
              <w:spacing w:after="0"/>
              <w:rPr>
                <w:sz w:val="23"/>
                <w:szCs w:val="23"/>
                <w:color w:val="auto"/>
              </w:rPr>
            </w:pPr>
          </w:p>
        </w:tc>
        <w:tc>
          <w:tcPr>
            <w:tcW w:w="3360" w:type="dxa"/>
            <w:vAlign w:val="bottom"/>
            <w:tcBorders>
              <w:top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center"/>
              <w:ind w:right="141"/>
              <w:spacing w:after="0" w:line="183" w:lineRule="exact"/>
              <w:rPr>
                <w:sz w:val="20"/>
                <w:szCs w:val="20"/>
                <w:color w:val="auto"/>
              </w:rPr>
            </w:pPr>
            <w:r>
              <w:rPr>
                <w:rFonts w:ascii="Times New Roman" w:cs="Times New Roman" w:eastAsia="Times New Roman" w:hAnsi="Times New Roman"/>
                <w:sz w:val="20"/>
                <w:szCs w:val="20"/>
                <w:b w:val="1"/>
                <w:bCs w:val="1"/>
                <w:color w:val="auto"/>
                <w:w w:val="98"/>
              </w:rPr>
              <w:t>90 or more</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61"/>
              <w:spacing w:after="0" w:line="183" w:lineRule="exact"/>
              <w:rPr>
                <w:sz w:val="20"/>
                <w:szCs w:val="20"/>
                <w:color w:val="auto"/>
              </w:rPr>
            </w:pPr>
            <w:r>
              <w:rPr>
                <w:rFonts w:ascii="Times New Roman" w:cs="Times New Roman" w:eastAsia="Times New Roman" w:hAnsi="Times New Roman"/>
                <w:sz w:val="20"/>
                <w:szCs w:val="20"/>
                <w:b w:val="1"/>
                <w:bCs w:val="1"/>
                <w:color w:val="auto"/>
              </w:rPr>
              <w:t>90 or more</w:t>
            </w:r>
          </w:p>
        </w:tc>
        <w:tc>
          <w:tcPr>
            <w:tcW w:w="0" w:type="dxa"/>
            <w:vAlign w:val="bottom"/>
          </w:tcPr>
          <w:p>
            <w:pPr>
              <w:spacing w:after="0"/>
              <w:rPr>
                <w:sz w:val="1"/>
                <w:szCs w:val="1"/>
                <w:color w:val="auto"/>
              </w:rPr>
            </w:pPr>
          </w:p>
        </w:tc>
      </w:tr>
      <w:tr>
        <w:trPr>
          <w:trHeight w:val="256"/>
        </w:trPr>
        <w:tc>
          <w:tcPr>
            <w:tcW w:w="3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days past due</w:t>
            </w: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days past due</w:t>
            </w:r>
          </w:p>
        </w:tc>
        <w:tc>
          <w:tcPr>
            <w:tcW w:w="0" w:type="dxa"/>
            <w:vAlign w:val="bottom"/>
          </w:tcPr>
          <w:p>
            <w:pPr>
              <w:spacing w:after="0"/>
              <w:rPr>
                <w:sz w:val="1"/>
                <w:szCs w:val="1"/>
                <w:color w:val="auto"/>
              </w:rPr>
            </w:pPr>
          </w:p>
        </w:tc>
      </w:tr>
      <w:tr>
        <w:trPr>
          <w:trHeight w:val="250"/>
        </w:trPr>
        <w:tc>
          <w:tcPr>
            <w:tcW w:w="360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w w:val="98"/>
              </w:rPr>
              <w:t>Aggregate unpaid principal balance</w:t>
            </w:r>
          </w:p>
        </w:tc>
        <w:tc>
          <w:tcPr>
            <w:tcW w:w="4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1,795,818</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20"/>
                <w:szCs w:val="20"/>
                <w:color w:val="auto"/>
              </w:rPr>
              <w:t>657,984</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3,719</w:t>
            </w:r>
          </w:p>
        </w:tc>
        <w:tc>
          <w:tcPr>
            <w:tcW w:w="0" w:type="dxa"/>
            <w:vAlign w:val="bottom"/>
          </w:tcPr>
          <w:p>
            <w:pPr>
              <w:spacing w:after="0"/>
              <w:rPr>
                <w:sz w:val="1"/>
                <w:szCs w:val="1"/>
                <w:color w:val="auto"/>
              </w:rPr>
            </w:pPr>
          </w:p>
        </w:tc>
      </w:tr>
      <w:tr>
        <w:trPr>
          <w:trHeight w:val="257"/>
        </w:trPr>
        <w:tc>
          <w:tcPr>
            <w:tcW w:w="360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w w:val="98"/>
              </w:rPr>
              <w:t>Cumulative fair value adjustments</w:t>
            </w: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(33,422)</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(21,632)</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0" w:type="dxa"/>
            <w:vAlign w:val="bottom"/>
          </w:tcPr>
          <w:p>
            <w:pPr>
              <w:spacing w:after="0"/>
              <w:rPr>
                <w:sz w:val="1"/>
                <w:szCs w:val="1"/>
                <w:color w:val="auto"/>
              </w:rPr>
            </w:pPr>
          </w:p>
        </w:tc>
      </w:tr>
      <w:tr>
        <w:trPr>
          <w:trHeight w:val="275"/>
        </w:trPr>
        <w:tc>
          <w:tcPr>
            <w:tcW w:w="360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20"/>
                <w:szCs w:val="20"/>
                <w:color w:val="auto"/>
              </w:rPr>
              <w:t>Fair value of loans held for sale</w:t>
            </w: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1,762,396</w:t>
            </w:r>
          </w:p>
        </w:tc>
        <w:tc>
          <w:tcPr>
            <w:tcW w:w="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20"/>
                <w:szCs w:val="20"/>
                <w:color w:val="auto"/>
              </w:rPr>
              <w:t>636,352</w:t>
            </w:r>
          </w:p>
        </w:tc>
        <w:tc>
          <w:tcPr>
            <w:tcW w:w="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Investment at Fair Value</w:t>
      </w:r>
    </w:p>
    <w:p>
      <w:pPr>
        <w:spacing w:after="0" w:line="2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As of December 31, 2025, the Company’s HFI loans at fair value consisted primarily of purchased loan portfolios comprised of loans that the Company previously originated and sold. Due to the short remaining duration of the acquired loan portfolios, the Company has elected to account for them under the fair value 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Significant Unobservable Inputs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significant unobservable inputs were used in the fair value measurement of HFI loans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680" w:type="dxa"/>
            <w:vAlign w:val="bottom"/>
            <w:tcBorders>
              <w:top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2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12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150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200" w:type="dxa"/>
            <w:vAlign w:val="bottom"/>
          </w:tcPr>
          <w:p>
            <w:pPr>
              <w:ind w:left="120"/>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120" w:type="dxa"/>
            <w:vAlign w:val="bottom"/>
          </w:tcPr>
          <w:p>
            <w:pPr>
              <w:spacing w:after="0"/>
              <w:rPr>
                <w:sz w:val="15"/>
                <w:szCs w:val="15"/>
                <w:color w:val="auto"/>
              </w:rPr>
            </w:pPr>
          </w:p>
        </w:tc>
        <w:tc>
          <w:tcPr>
            <w:tcW w:w="13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7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200" w:type="dxa"/>
            <w:vAlign w:val="bottom"/>
          </w:tcPr>
          <w:p>
            <w:pPr>
              <w:jc w:val="right"/>
              <w:ind w:right="121"/>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0" w:type="dxa"/>
            <w:vAlign w:val="bottom"/>
          </w:tcPr>
          <w:p>
            <w:pPr>
              <w:spacing w:after="0"/>
              <w:rPr>
                <w:sz w:val="1"/>
                <w:szCs w:val="1"/>
                <w:color w:val="auto"/>
              </w:rPr>
            </w:pPr>
          </w:p>
        </w:tc>
      </w:tr>
      <w:tr>
        <w:trPr>
          <w:trHeight w:val="256"/>
        </w:trPr>
        <w:tc>
          <w:tcPr>
            <w:tcW w:w="26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320" w:type="dxa"/>
            <w:vAlign w:val="bottom"/>
            <w:tcBorders>
              <w:bottom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(2)</w:t>
            </w:r>
          </w:p>
        </w:tc>
        <w:tc>
          <w:tcPr>
            <w:tcW w:w="1300" w:type="dxa"/>
            <w:vAlign w:val="bottom"/>
            <w:tcBorders>
              <w:bottom w:val="single" w:sz="8" w:color="auto"/>
            </w:tcBorders>
            <w:vMerge w:val="continue"/>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jc w:val="right"/>
              <w:ind w:right="121"/>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(2)</w:t>
            </w:r>
          </w:p>
        </w:tc>
        <w:tc>
          <w:tcPr>
            <w:tcW w:w="0" w:type="dxa"/>
            <w:vAlign w:val="bottom"/>
          </w:tcPr>
          <w:p>
            <w:pPr>
              <w:spacing w:after="0"/>
              <w:rPr>
                <w:sz w:val="1"/>
                <w:szCs w:val="1"/>
                <w:color w:val="auto"/>
              </w:rPr>
            </w:pPr>
          </w:p>
        </w:tc>
      </w:tr>
      <w:tr>
        <w:trPr>
          <w:trHeight w:val="25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5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6.5 %</w:t>
            </w:r>
          </w:p>
        </w:tc>
        <w:tc>
          <w:tcPr>
            <w:tcW w:w="15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8.5 %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7.2 %</w:t>
            </w:r>
          </w:p>
        </w:tc>
        <w:tc>
          <w:tcPr>
            <w:tcW w:w="17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21.8 %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10.5 %</w:t>
            </w:r>
          </w:p>
        </w:tc>
        <w:tc>
          <w:tcPr>
            <w:tcW w:w="0" w:type="dxa"/>
            <w:vAlign w:val="bottom"/>
          </w:tcPr>
          <w:p>
            <w:pPr>
              <w:spacing w:after="0"/>
              <w:rPr>
                <w:sz w:val="1"/>
                <w:szCs w:val="1"/>
                <w:color w:val="auto"/>
              </w:rPr>
            </w:pPr>
          </w:p>
        </w:tc>
      </w:tr>
      <w:tr>
        <w:trPr>
          <w:trHeight w:val="257"/>
        </w:trPr>
        <w:tc>
          <w:tcPr>
            <w:tcW w:w="2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4.1 %</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19.1 %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17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20.2 %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0" w:type="dxa"/>
            <w:vAlign w:val="bottom"/>
          </w:tcPr>
          <w:p>
            <w:pPr>
              <w:spacing w:after="0"/>
              <w:rPr>
                <w:sz w:val="1"/>
                <w:szCs w:val="1"/>
                <w:color w:val="auto"/>
              </w:rPr>
            </w:pPr>
          </w:p>
        </w:tc>
      </w:tr>
      <w:tr>
        <w:trPr>
          <w:trHeight w:val="256"/>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19.6 %</w:t>
            </w:r>
          </w:p>
        </w:tc>
        <w:tc>
          <w:tcPr>
            <w:tcW w:w="15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21.1 %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20.0 %</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15.6 %</w:t>
            </w:r>
          </w:p>
        </w:tc>
        <w:tc>
          <w:tcPr>
            <w:tcW w:w="17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21.4 %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100" w:hanging="332"/>
        <w:spacing w:after="0" w:line="231" w:lineRule="auto"/>
        <w:tabs>
          <w:tab w:leader="none" w:pos="294"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change in significant unobservable inputs from December 31, 2024 to December 31, 2025 was primarily driven by loan composition changes due to a loan portfolio purchase in the fourth quarter of 2025, along with a significant reduction in loan balances related to previous portfolio purchases with lower purchase prices which resulted in a higher discount rate.</w:t>
      </w:r>
    </w:p>
    <w:p>
      <w:pPr>
        <w:ind w:left="280" w:hanging="272"/>
        <w:spacing w:after="0" w:line="238" w:lineRule="auto"/>
        <w:tabs>
          <w:tab w:leader="none" w:pos="280"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weighted-average rate is calculated using the principal balance of each loan pool with similar risk characteristics.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Sensitivity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sensitivity of HFI loans at fair value to adverse changes in key assumptions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top w:val="single" w:sz="8" w:color="auto"/>
              <w:bottom w:val="single" w:sz="8" w:color="auto"/>
            </w:tcBorders>
          </w:tcPr>
          <w:p>
            <w:pPr>
              <w:spacing w:after="0"/>
              <w:rPr>
                <w:sz w:val="23"/>
                <w:szCs w:val="23"/>
                <w:color w:val="auto"/>
              </w:rPr>
            </w:pPr>
          </w:p>
        </w:tc>
        <w:tc>
          <w:tcPr>
            <w:tcW w:w="22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473,314</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1,027,798</w:t>
            </w: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remaining weighted-average life (in years)</w:t>
            </w:r>
          </w:p>
        </w:tc>
        <w:tc>
          <w:tcPr>
            <w:tcW w:w="12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4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100 basis point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(7,832)</w:t>
            </w:r>
          </w:p>
        </w:tc>
      </w:tr>
      <w:tr>
        <w:trPr>
          <w:trHeight w:val="257"/>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200 basis point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(5,633)</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(15,557)</w:t>
            </w:r>
          </w:p>
        </w:tc>
      </w:tr>
      <w:tr>
        <w:trPr>
          <w:trHeight w:val="256"/>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(5,738)</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(11,821)</w:t>
            </w:r>
          </w:p>
        </w:tc>
      </w:tr>
      <w:tr>
        <w:trPr>
          <w:trHeight w:val="256"/>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(13,161)</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(25,428)</w:t>
            </w: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(4,813)</w:t>
            </w:r>
          </w:p>
        </w:tc>
      </w:tr>
      <w:tr>
        <w:trPr>
          <w:trHeight w:val="256"/>
        </w:trPr>
        <w:tc>
          <w:tcPr>
            <w:tcW w:w="5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(4,979)</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(9,854)</w:t>
            </w: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Reconciliation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HFI loans at fair value activity: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72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40" w:type="dxa"/>
            <w:vAlign w:val="bottom"/>
            <w:tcBorders>
              <w:top w:val="single" w:sz="8" w:color="auto"/>
              <w:bottom w:val="single" w:sz="8" w:color="auto"/>
            </w:tcBorders>
          </w:tcPr>
          <w:p>
            <w:pPr>
              <w:spacing w:after="0"/>
              <w:rPr>
                <w:sz w:val="23"/>
                <w:szCs w:val="23"/>
                <w:color w:val="auto"/>
              </w:rPr>
            </w:pPr>
          </w:p>
        </w:tc>
        <w:tc>
          <w:tcPr>
            <w:tcW w:w="192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beginning of period</w:t>
            </w:r>
          </w:p>
        </w:tc>
        <w:tc>
          <w:tcPr>
            <w:tcW w:w="72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1,027,798</w:t>
            </w:r>
          </w:p>
        </w:tc>
        <w:tc>
          <w:tcPr>
            <w:tcW w:w="6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262,190</w:t>
            </w:r>
          </w:p>
        </w:tc>
      </w:tr>
      <w:tr>
        <w:trPr>
          <w:trHeight w:val="257"/>
        </w:trPr>
        <w:tc>
          <w:tcPr>
            <w:tcW w:w="5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Purchases</w:t>
            </w:r>
          </w:p>
        </w:tc>
        <w:tc>
          <w:tcPr>
            <w:tcW w:w="720" w:type="dxa"/>
            <w:vAlign w:val="bottom"/>
          </w:tcPr>
          <w:p>
            <w:pPr>
              <w:spacing w:after="0"/>
              <w:rPr>
                <w:sz w:val="22"/>
                <w:szCs w:val="22"/>
                <w:color w:val="auto"/>
              </w:rPr>
            </w:pPr>
          </w:p>
        </w:tc>
        <w:tc>
          <w:tcPr>
            <w:tcW w:w="1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138,055</w:t>
            </w:r>
          </w:p>
        </w:tc>
        <w:tc>
          <w:tcPr>
            <w:tcW w:w="6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1,396,223</w:t>
            </w:r>
          </w:p>
        </w:tc>
      </w:tr>
      <w:tr>
        <w:trPr>
          <w:trHeight w:val="25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Principal payments</w:t>
            </w:r>
          </w:p>
        </w:tc>
        <w:tc>
          <w:tcPr>
            <w:tcW w:w="72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(683,231)</w:t>
            </w:r>
          </w:p>
        </w:tc>
        <w:tc>
          <w:tcPr>
            <w:tcW w:w="6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(618,472)</w:t>
            </w:r>
          </w:p>
        </w:tc>
      </w:tr>
      <w:tr>
        <w:trPr>
          <w:trHeight w:val="257"/>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Interest income accretion and fair value adjustments recorded in earnings</w:t>
            </w:r>
          </w:p>
        </w:tc>
        <w:tc>
          <w:tcPr>
            <w:tcW w:w="7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(9,308)</w:t>
            </w:r>
          </w:p>
        </w:tc>
        <w:tc>
          <w:tcPr>
            <w:tcW w:w="6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(12,143)</w:t>
            </w:r>
          </w:p>
        </w:tc>
      </w:tr>
      <w:tr>
        <w:trPr>
          <w:trHeight w:val="275"/>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end of period</w:t>
            </w:r>
          </w:p>
        </w:tc>
        <w:tc>
          <w:tcPr>
            <w:tcW w:w="72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473,314</w:t>
            </w:r>
          </w:p>
        </w:tc>
        <w:tc>
          <w:tcPr>
            <w:tcW w:w="6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1,027,798</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aggregate fair value of the Company’s HFI loans at fair value, as well as the amount that was 90 days or more past due: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180" w:type="dxa"/>
            <w:vAlign w:val="bottom"/>
            <w:tcBorders>
              <w:top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340" w:type="dxa"/>
            <w:vAlign w:val="bottom"/>
            <w:tcBorders>
              <w:top w:val="single" w:sz="8" w:color="auto"/>
            </w:tcBorders>
          </w:tcPr>
          <w:p>
            <w:pPr>
              <w:spacing w:after="0"/>
              <w:rPr>
                <w:sz w:val="23"/>
                <w:szCs w:val="23"/>
                <w:color w:val="auto"/>
              </w:rPr>
            </w:pPr>
          </w:p>
        </w:tc>
        <w:tc>
          <w:tcPr>
            <w:tcW w:w="3120" w:type="dxa"/>
            <w:vAlign w:val="bottom"/>
            <w:tcBorders>
              <w:top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121"/>
              <w:spacing w:after="0" w:line="183" w:lineRule="exact"/>
              <w:rPr>
                <w:sz w:val="20"/>
                <w:szCs w:val="20"/>
                <w:color w:val="auto"/>
              </w:rPr>
            </w:pPr>
            <w:r>
              <w:rPr>
                <w:rFonts w:ascii="Times New Roman" w:cs="Times New Roman" w:eastAsia="Times New Roman" w:hAnsi="Times New Roman"/>
                <w:sz w:val="20"/>
                <w:szCs w:val="20"/>
                <w:b w:val="1"/>
                <w:bCs w:val="1"/>
                <w:color w:val="auto"/>
                <w:w w:val="98"/>
              </w:rPr>
              <w:t>90 or more</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341"/>
              <w:spacing w:after="0" w:line="183" w:lineRule="exact"/>
              <w:rPr>
                <w:sz w:val="20"/>
                <w:szCs w:val="20"/>
                <w:color w:val="auto"/>
              </w:rPr>
            </w:pPr>
            <w:r>
              <w:rPr>
                <w:rFonts w:ascii="Times New Roman" w:cs="Times New Roman" w:eastAsia="Times New Roman" w:hAnsi="Times New Roman"/>
                <w:sz w:val="20"/>
                <w:szCs w:val="20"/>
                <w:b w:val="1"/>
                <w:bCs w:val="1"/>
                <w:color w:val="auto"/>
              </w:rPr>
              <w:t>90 or more</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days past due</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days past due</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Aggregate unpaid principal balance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495,649</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1,097,511</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14,616</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Cumulative fair value adjustments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(22,335)</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(69,713)</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(11,836)</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Fair value of loans held for investment</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20"/>
                <w:szCs w:val="20"/>
                <w:color w:val="auto"/>
              </w:rPr>
              <w:t>473,314</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1,027,798</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Asset-Backed Securities Related to Structured Program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Asset-Backed Securities Related to Structured Program Transactions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Significant Unobservable Inputs</w:t>
      </w:r>
    </w:p>
    <w:p>
      <w:pPr>
        <w:spacing w:after="0" w:line="24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The following significant unobservable input, which includes credit spreads, was used in the fair value measurement of senior asset-backed securities related to Structured Program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66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12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Borders>
              <w:bottom w:val="single" w:sz="8" w:color="auto"/>
            </w:tcBorders>
            <w:gridSpan w:val="2"/>
          </w:tcPr>
          <w:p>
            <w:pPr>
              <w:jc w:val="center"/>
              <w:ind w:left="1121"/>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1220" w:type="dxa"/>
            <w:vAlign w:val="bottom"/>
            <w:tcBorders>
              <w:bottom w:val="single" w:sz="8" w:color="auto"/>
            </w:tcBorders>
          </w:tcPr>
          <w:p>
            <w:pPr>
              <w:spacing w:after="0"/>
              <w:rPr>
                <w:sz w:val="23"/>
                <w:szCs w:val="23"/>
                <w:color w:val="auto"/>
              </w:rPr>
            </w:pPr>
          </w:p>
        </w:tc>
      </w:tr>
      <w:tr>
        <w:trPr>
          <w:trHeight w:val="213"/>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00" w:type="dxa"/>
            <w:vAlign w:val="bottom"/>
            <w:gridSpan w:val="2"/>
          </w:tcPr>
          <w:p>
            <w:pPr>
              <w:jc w:val="center"/>
              <w:ind w:right="240"/>
              <w:spacing w:after="0" w:line="213" w:lineRule="exact"/>
              <w:rPr>
                <w:sz w:val="20"/>
                <w:szCs w:val="20"/>
                <w:color w:val="auto"/>
              </w:rPr>
            </w:pPr>
            <w:r>
              <w:rPr>
                <w:rFonts w:ascii="Times New Roman" w:cs="Times New Roman" w:eastAsia="Times New Roman" w:hAnsi="Times New Roman"/>
                <w:sz w:val="20"/>
                <w:szCs w:val="20"/>
                <w:b w:val="1"/>
                <w:bCs w:val="1"/>
                <w:color w:val="auto"/>
                <w:w w:val="96"/>
              </w:rPr>
              <w:t>Weighted-</w:t>
            </w: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jc w:val="center"/>
              <w:ind w:right="21"/>
              <w:spacing w:after="0" w:line="213" w:lineRule="exact"/>
              <w:rPr>
                <w:sz w:val="20"/>
                <w:szCs w:val="20"/>
                <w:color w:val="auto"/>
              </w:rPr>
            </w:pPr>
            <w:r>
              <w:rPr>
                <w:rFonts w:ascii="Times New Roman" w:cs="Times New Roman" w:eastAsia="Times New Roman" w:hAnsi="Times New Roman"/>
                <w:sz w:val="20"/>
                <w:szCs w:val="20"/>
                <w:b w:val="1"/>
                <w:bCs w:val="1"/>
                <w:color w:val="auto"/>
                <w:w w:val="96"/>
              </w:rPr>
              <w:t>Weighted-</w:t>
            </w:r>
          </w:p>
        </w:tc>
      </w:tr>
      <w:tr>
        <w:trPr>
          <w:trHeight w:val="280"/>
        </w:trPr>
        <w:tc>
          <w:tcPr>
            <w:tcW w:w="2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15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12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5"/>
              </w:rPr>
              <w:t>Average</w:t>
            </w:r>
          </w:p>
        </w:tc>
      </w:tr>
      <w:tr>
        <w:trPr>
          <w:trHeight w:val="263"/>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7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5.4 %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6.0 %</w:t>
            </w:r>
          </w:p>
        </w:tc>
        <w:tc>
          <w:tcPr>
            <w:tcW w:w="15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6.0 %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Sensitivity</w:t>
      </w:r>
    </w:p>
    <w:p>
      <w:pPr>
        <w:spacing w:after="0" w:line="256"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20"/>
          <w:szCs w:val="20"/>
          <w:color w:val="auto"/>
        </w:rPr>
        <w:t>The sensitivity in the fair value of senior asset-backed securities related to Structured Program transactions to adverse changes in key assumptions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6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of interests held</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3,092,410</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2,899,824</w:t>
            </w:r>
          </w:p>
        </w:tc>
      </w:tr>
      <w:tr>
        <w:trPr>
          <w:trHeight w:val="264"/>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remaining weighted-average life (in years)</w:t>
            </w:r>
          </w:p>
        </w:tc>
        <w:tc>
          <w:tcPr>
            <w:tcW w:w="12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4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7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66"/>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100 basis point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(32,467)</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(37,315)</w:t>
            </w:r>
          </w:p>
        </w:tc>
      </w:tr>
      <w:tr>
        <w:trPr>
          <w:trHeight w:val="270"/>
        </w:trPr>
        <w:tc>
          <w:tcPr>
            <w:tcW w:w="5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200 basis point increase</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(64,934)</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(74,630)</w:t>
            </w: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Reconciliation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senior asset-backed securities related to Structured Program transactions activity: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24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40" w:type="dxa"/>
            <w:vAlign w:val="bottom"/>
            <w:tcBorders>
              <w:top w:val="single" w:sz="8" w:color="auto"/>
              <w:bottom w:val="single" w:sz="8" w:color="auto"/>
            </w:tcBorders>
          </w:tcPr>
          <w:p>
            <w:pPr>
              <w:spacing w:after="0"/>
              <w:rPr>
                <w:sz w:val="23"/>
                <w:szCs w:val="23"/>
                <w:color w:val="auto"/>
              </w:rPr>
            </w:pPr>
          </w:p>
        </w:tc>
        <w:tc>
          <w:tcPr>
            <w:tcW w:w="192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beginning of period</w:t>
            </w:r>
          </w:p>
        </w:tc>
        <w:tc>
          <w:tcPr>
            <w:tcW w:w="22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2,899,824</w:t>
            </w:r>
          </w:p>
        </w:tc>
        <w:tc>
          <w:tcPr>
            <w:tcW w:w="6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1,176,403</w:t>
            </w: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Additions</w:t>
            </w:r>
          </w:p>
        </w:tc>
        <w:tc>
          <w:tcPr>
            <w:tcW w:w="2240" w:type="dxa"/>
            <w:vAlign w:val="bottom"/>
          </w:tcPr>
          <w:p>
            <w:pPr>
              <w:spacing w:after="0"/>
              <w:rPr>
                <w:sz w:val="22"/>
                <w:szCs w:val="22"/>
                <w:color w:val="auto"/>
              </w:rPr>
            </w:pPr>
          </w:p>
        </w:tc>
        <w:tc>
          <w:tcPr>
            <w:tcW w:w="1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1,839,092</w:t>
            </w:r>
          </w:p>
        </w:tc>
        <w:tc>
          <w:tcPr>
            <w:tcW w:w="6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2,558,003</w:t>
            </w:r>
          </w:p>
        </w:tc>
      </w:tr>
      <w:tr>
        <w:trPr>
          <w:trHeight w:val="25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Sales</w:t>
            </w:r>
          </w:p>
        </w:tc>
        <w:tc>
          <w:tcPr>
            <w:tcW w:w="224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(30,114)</w:t>
            </w:r>
          </w:p>
        </w:tc>
      </w:tr>
      <w:tr>
        <w:trPr>
          <w:trHeight w:val="257"/>
        </w:trPr>
        <w:tc>
          <w:tcPr>
            <w:tcW w:w="4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received</w:t>
            </w:r>
          </w:p>
        </w:tc>
        <w:tc>
          <w:tcPr>
            <w:tcW w:w="22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(1,643,278)</w:t>
            </w:r>
          </w:p>
        </w:tc>
        <w:tc>
          <w:tcPr>
            <w:tcW w:w="6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(823,331)</w:t>
            </w:r>
          </w:p>
        </w:tc>
      </w:tr>
      <w:tr>
        <w:trPr>
          <w:trHeight w:val="257"/>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unrealized gain</w:t>
            </w:r>
          </w:p>
        </w:tc>
        <w:tc>
          <w:tcPr>
            <w:tcW w:w="22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(3,228)</w:t>
            </w:r>
          </w:p>
        </w:tc>
        <w:tc>
          <w:tcPr>
            <w:tcW w:w="64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18,863</w:t>
            </w:r>
          </w:p>
        </w:tc>
      </w:tr>
      <w:tr>
        <w:trPr>
          <w:trHeight w:val="25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end of period</w:t>
            </w:r>
          </w:p>
        </w:tc>
        <w:tc>
          <w:tcPr>
            <w:tcW w:w="22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3,092,410</w:t>
            </w:r>
          </w:p>
        </w:tc>
        <w:tc>
          <w:tcPr>
            <w:tcW w:w="6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2,899,824</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Asset-Backed Securities Related to Structured Program Transactions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Significant Unobservable Inputs</w:t>
      </w:r>
    </w:p>
    <w:p>
      <w:pPr>
        <w:spacing w:after="0" w:line="256"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following significant unobservable inputs were used in the fair value measurement of other asset-backed securities related to Structured Program transactions: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00" w:type="dxa"/>
            <w:vAlign w:val="bottom"/>
            <w:tcBorders>
              <w:top w:val="single" w:sz="8" w:color="auto"/>
            </w:tcBorders>
          </w:tcPr>
          <w:p>
            <w:pPr>
              <w:spacing w:after="0"/>
              <w:rPr>
                <w:sz w:val="23"/>
                <w:szCs w:val="23"/>
                <w:color w:val="auto"/>
              </w:rPr>
            </w:pPr>
          </w:p>
        </w:tc>
        <w:tc>
          <w:tcPr>
            <w:tcW w:w="300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2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spacing w:after="0"/>
              <w:rPr>
                <w:sz w:val="23"/>
                <w:szCs w:val="23"/>
                <w:color w:val="auto"/>
              </w:rPr>
            </w:pPr>
          </w:p>
        </w:tc>
        <w:tc>
          <w:tcPr>
            <w:tcW w:w="1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12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4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2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200" w:type="dxa"/>
            <w:vAlign w:val="bottom"/>
          </w:tcPr>
          <w:p>
            <w:pPr>
              <w:ind w:left="100"/>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100" w:type="dxa"/>
            <w:vAlign w:val="bottom"/>
          </w:tcPr>
          <w:p>
            <w:pPr>
              <w:spacing w:after="0"/>
              <w:rPr>
                <w:sz w:val="15"/>
                <w:szCs w:val="15"/>
                <w:color w:val="auto"/>
              </w:rPr>
            </w:pPr>
          </w:p>
        </w:tc>
        <w:tc>
          <w:tcPr>
            <w:tcW w:w="13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7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2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gridSpan w:val="2"/>
          </w:tcPr>
          <w:p>
            <w:pPr>
              <w:ind w:left="80"/>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(1)</w:t>
            </w:r>
          </w:p>
        </w:tc>
        <w:tc>
          <w:tcPr>
            <w:tcW w:w="1300" w:type="dxa"/>
            <w:vAlign w:val="bottom"/>
            <w:tcBorders>
              <w:bottom w:val="single" w:sz="8" w:color="auto"/>
            </w:tcBorders>
            <w:vMerge w:val="continue"/>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tcPr>
          <w:p>
            <w:pPr>
              <w:jc w:val="right"/>
              <w:ind w:right="141"/>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4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6.6 %</w:t>
            </w:r>
          </w:p>
        </w:tc>
        <w:tc>
          <w:tcPr>
            <w:tcW w:w="15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8.6 %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7.1 %</w:t>
            </w:r>
          </w:p>
        </w:tc>
        <w:tc>
          <w:tcPr>
            <w:tcW w:w="17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7.9 %</w:t>
            </w:r>
          </w:p>
        </w:tc>
        <w:tc>
          <w:tcPr>
            <w:tcW w:w="0" w:type="dxa"/>
            <w:vAlign w:val="bottom"/>
          </w:tcPr>
          <w:p>
            <w:pPr>
              <w:spacing w:after="0"/>
              <w:rPr>
                <w:sz w:val="1"/>
                <w:szCs w:val="1"/>
                <w:color w:val="auto"/>
              </w:rPr>
            </w:pPr>
          </w:p>
        </w:tc>
      </w:tr>
      <w:tr>
        <w:trPr>
          <w:trHeight w:val="257"/>
        </w:trPr>
        <w:tc>
          <w:tcPr>
            <w:tcW w:w="2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3.1 %</w:t>
            </w:r>
          </w:p>
        </w:tc>
        <w:tc>
          <w:tcPr>
            <w:tcW w:w="1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6.2 %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17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7.4 %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0" w:type="dxa"/>
            <w:vAlign w:val="bottom"/>
          </w:tcPr>
          <w:p>
            <w:pPr>
              <w:spacing w:after="0"/>
              <w:rPr>
                <w:sz w:val="1"/>
                <w:szCs w:val="1"/>
                <w:color w:val="auto"/>
              </w:rPr>
            </w:pPr>
          </w:p>
        </w:tc>
      </w:tr>
      <w:tr>
        <w:trPr>
          <w:trHeight w:val="257"/>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4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22.8 %</w:t>
            </w:r>
          </w:p>
        </w:tc>
        <w:tc>
          <w:tcPr>
            <w:tcW w:w="15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27.4 %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25.8 %</w:t>
            </w: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18.7 %</w:t>
            </w:r>
          </w:p>
        </w:tc>
        <w:tc>
          <w:tcPr>
            <w:tcW w:w="17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20.9 %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300" w:firstLine="8"/>
        <w:spacing w:after="0" w:line="434" w:lineRule="auto"/>
        <w:tabs>
          <w:tab w:leader="none" w:pos="278"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The weighted-average rate is calculated using the principal balance of each security. </w:t>
      </w:r>
      <w:r>
        <w:rPr>
          <w:rFonts w:ascii="Times New Roman" w:cs="Times New Roman" w:eastAsia="Times New Roman" w:hAnsi="Times New Roman"/>
          <w:sz w:val="20"/>
          <w:szCs w:val="20"/>
          <w:u w:val="single" w:color="auto"/>
          <w:color w:val="auto"/>
        </w:rPr>
        <w:t>Fair Value Sensitivity</w:t>
      </w:r>
    </w:p>
    <w:p>
      <w:pPr>
        <w:spacing w:after="0" w:line="2"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20"/>
          <w:szCs w:val="20"/>
          <w:color w:val="auto"/>
        </w:rPr>
        <w:t>The sensitivity in the fair value of other asset-backed securities related to Structured Program transactions to adverse changes in key assumptions was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top w:val="single" w:sz="8" w:color="auto"/>
              <w:bottom w:val="single" w:sz="8" w:color="auto"/>
            </w:tcBorders>
          </w:tcPr>
          <w:p>
            <w:pPr>
              <w:spacing w:after="0"/>
              <w:rPr>
                <w:sz w:val="23"/>
                <w:szCs w:val="23"/>
                <w:color w:val="auto"/>
              </w:rPr>
            </w:pPr>
          </w:p>
        </w:tc>
        <w:tc>
          <w:tcPr>
            <w:tcW w:w="22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of interests held</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219,370</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169,948</w:t>
            </w: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remaining weighted-average life (in years)</w:t>
            </w:r>
          </w:p>
        </w:tc>
        <w:tc>
          <w:tcPr>
            <w:tcW w:w="1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100 basis point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w:t>
            </w:r>
          </w:p>
        </w:tc>
      </w:tr>
      <w:tr>
        <w:trPr>
          <w:trHeight w:val="25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200 basis point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(3,783)</w:t>
            </w: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(2,077)</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(1,778)</w:t>
            </w:r>
          </w:p>
        </w:tc>
      </w:tr>
      <w:tr>
        <w:trPr>
          <w:trHeight w:val="25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(4,112)</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(3,567)</w:t>
            </w: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6"/>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r>
      <w:tr>
        <w:trPr>
          <w:trHeight w:val="256"/>
        </w:trPr>
        <w:tc>
          <w:tcPr>
            <w:tcW w:w="5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(1,227)</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Reconciliation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other asset-backed securities related to Structured Program transactions activity: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600" w:type="dxa"/>
            <w:vAlign w:val="bottom"/>
            <w:tcBorders>
              <w:top w:val="single" w:sz="8" w:color="auto"/>
              <w:bottom w:val="single" w:sz="8" w:color="auto"/>
            </w:tcBorders>
          </w:tcPr>
          <w:p>
            <w:pPr>
              <w:spacing w:after="0"/>
              <w:rPr>
                <w:sz w:val="23"/>
                <w:szCs w:val="23"/>
                <w:color w:val="auto"/>
              </w:rPr>
            </w:pPr>
          </w:p>
        </w:tc>
        <w:tc>
          <w:tcPr>
            <w:tcW w:w="19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40" w:type="dxa"/>
            <w:vAlign w:val="bottom"/>
            <w:tcBorders>
              <w:top w:val="single" w:sz="8" w:color="auto"/>
              <w:bottom w:val="single" w:sz="8" w:color="auto"/>
            </w:tcBorders>
          </w:tcPr>
          <w:p>
            <w:pPr>
              <w:spacing w:after="0"/>
              <w:rPr>
                <w:sz w:val="23"/>
                <w:szCs w:val="23"/>
                <w:color w:val="auto"/>
              </w:rPr>
            </w:pPr>
          </w:p>
        </w:tc>
        <w:tc>
          <w:tcPr>
            <w:tcW w:w="192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beginning of period</w:t>
            </w:r>
          </w:p>
        </w:tc>
        <w:tc>
          <w:tcPr>
            <w:tcW w:w="160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169,948</w:t>
            </w:r>
          </w:p>
        </w:tc>
        <w:tc>
          <w:tcPr>
            <w:tcW w:w="6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73,393</w:t>
            </w:r>
          </w:p>
        </w:tc>
      </w:tr>
      <w:tr>
        <w:trPr>
          <w:trHeight w:val="257"/>
        </w:trPr>
        <w:tc>
          <w:tcPr>
            <w:tcW w:w="5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Additions</w:t>
            </w:r>
          </w:p>
        </w:tc>
        <w:tc>
          <w:tcPr>
            <w:tcW w:w="1600" w:type="dxa"/>
            <w:vAlign w:val="bottom"/>
          </w:tcPr>
          <w:p>
            <w:pPr>
              <w:spacing w:after="0"/>
              <w:rPr>
                <w:sz w:val="22"/>
                <w:szCs w:val="22"/>
                <w:color w:val="auto"/>
              </w:rPr>
            </w:pPr>
          </w:p>
        </w:tc>
        <w:tc>
          <w:tcPr>
            <w:tcW w:w="1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154,494</w:t>
            </w:r>
          </w:p>
        </w:tc>
        <w:tc>
          <w:tcPr>
            <w:tcW w:w="6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153,690</w:t>
            </w:r>
          </w:p>
        </w:tc>
      </w:tr>
      <w:tr>
        <w:trPr>
          <w:trHeight w:val="25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received</w:t>
            </w:r>
          </w:p>
        </w:tc>
        <w:tc>
          <w:tcPr>
            <w:tcW w:w="16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(103,825)</w:t>
            </w:r>
          </w:p>
        </w:tc>
        <w:tc>
          <w:tcPr>
            <w:tcW w:w="6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(53,219)</w:t>
            </w:r>
          </w:p>
        </w:tc>
      </w:tr>
      <w:tr>
        <w:trPr>
          <w:trHeight w:val="256"/>
        </w:trPr>
        <w:tc>
          <w:tcPr>
            <w:tcW w:w="5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Credit loss expense for securities available for sale</w:t>
            </w:r>
          </w:p>
        </w:tc>
        <w:tc>
          <w:tcPr>
            <w:tcW w:w="16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64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w:t>
            </w:r>
          </w:p>
        </w:tc>
      </w:tr>
      <w:tr>
        <w:trPr>
          <w:trHeight w:val="257"/>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unrealized loss</w:t>
            </w:r>
          </w:p>
        </w:tc>
        <w:tc>
          <w:tcPr>
            <w:tcW w:w="16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(681)</w:t>
            </w:r>
          </w:p>
        </w:tc>
        <w:tc>
          <w:tcPr>
            <w:tcW w:w="64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(699)</w:t>
            </w:r>
          </w:p>
        </w:tc>
      </w:tr>
      <w:tr>
        <w:trPr>
          <w:trHeight w:val="25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end of period</w:t>
            </w:r>
          </w:p>
        </w:tc>
        <w:tc>
          <w:tcPr>
            <w:tcW w:w="16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219,370</w:t>
            </w:r>
          </w:p>
        </w:tc>
        <w:tc>
          <w:tcPr>
            <w:tcW w:w="6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169,948</w:t>
            </w: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Servicing Assets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Significant Unobservable Inputs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significant unobservable inputs were used in the fair value measurement for servicing assets related to loans sold to investors: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760" w:type="dxa"/>
            <w:vAlign w:val="bottom"/>
            <w:tcBorders>
              <w:top w:val="single" w:sz="8" w:color="auto"/>
            </w:tcBorders>
          </w:tcPr>
          <w:p>
            <w:pPr>
              <w:spacing w:after="0"/>
              <w:rPr>
                <w:sz w:val="23"/>
                <w:szCs w:val="23"/>
                <w:color w:val="auto"/>
              </w:rPr>
            </w:pPr>
          </w:p>
        </w:tc>
        <w:tc>
          <w:tcPr>
            <w:tcW w:w="29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1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96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20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146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180" w:type="dxa"/>
            <w:vAlign w:val="bottom"/>
          </w:tcPr>
          <w:p>
            <w:pPr>
              <w:ind w:left="100"/>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120" w:type="dxa"/>
            <w:vAlign w:val="bottom"/>
          </w:tcPr>
          <w:p>
            <w:pPr>
              <w:spacing w:after="0"/>
              <w:rPr>
                <w:sz w:val="15"/>
                <w:szCs w:val="15"/>
                <w:color w:val="auto"/>
              </w:rPr>
            </w:pPr>
          </w:p>
        </w:tc>
        <w:tc>
          <w:tcPr>
            <w:tcW w:w="146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c>
          <w:tcPr>
            <w:tcW w:w="1500" w:type="dxa"/>
            <w:vAlign w:val="bottom"/>
            <w:vMerge w:val="restart"/>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Maximum</w:t>
            </w:r>
          </w:p>
        </w:tc>
        <w:tc>
          <w:tcPr>
            <w:tcW w:w="120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0" w:type="dxa"/>
            <w:vAlign w:val="bottom"/>
          </w:tcPr>
          <w:p>
            <w:pPr>
              <w:spacing w:after="0"/>
              <w:rPr>
                <w:sz w:val="1"/>
                <w:szCs w:val="1"/>
                <w:color w:val="auto"/>
              </w:rPr>
            </w:pPr>
          </w:p>
        </w:tc>
      </w:tr>
      <w:tr>
        <w:trPr>
          <w:trHeight w:val="256"/>
        </w:trPr>
        <w:tc>
          <w:tcPr>
            <w:tcW w:w="27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gridSpan w:val="2"/>
          </w:tcPr>
          <w:p>
            <w:pPr>
              <w:ind w:left="80"/>
              <w:spacing w:after="0" w:line="257"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(1)</w:t>
            </w:r>
          </w:p>
        </w:tc>
        <w:tc>
          <w:tcPr>
            <w:tcW w:w="146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tcPr>
          <w:p>
            <w:pPr>
              <w:jc w:val="right"/>
              <w:ind w:right="121"/>
              <w:spacing w:after="0" w:line="257" w:lineRule="exact"/>
              <w:rPr>
                <w:sz w:val="20"/>
                <w:szCs w:val="20"/>
                <w:color w:val="auto"/>
              </w:rPr>
            </w:pPr>
            <w:r>
              <w:rPr>
                <w:rFonts w:ascii="Times New Roman" w:cs="Times New Roman" w:eastAsia="Times New Roman" w:hAnsi="Times New Roman"/>
                <w:sz w:val="20"/>
                <w:szCs w:val="20"/>
                <w:b w:val="1"/>
                <w:bCs w:val="1"/>
                <w:color w:val="auto"/>
              </w:rPr>
              <w:t xml:space="preserve">Average </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5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8.9 %</w:t>
            </w:r>
          </w:p>
        </w:tc>
        <w:tc>
          <w:tcPr>
            <w:tcW w:w="15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16.2 %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10.4 %</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8.7 %</w:t>
            </w:r>
          </w:p>
        </w:tc>
        <w:tc>
          <w:tcPr>
            <w:tcW w:w="15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17.3 %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10.8 %</w:t>
            </w:r>
          </w:p>
        </w:tc>
        <w:tc>
          <w:tcPr>
            <w:tcW w:w="0" w:type="dxa"/>
            <w:vAlign w:val="bottom"/>
          </w:tcPr>
          <w:p>
            <w:pPr>
              <w:spacing w:after="0"/>
              <w:rPr>
                <w:sz w:val="1"/>
                <w:szCs w:val="1"/>
                <w:color w:val="auto"/>
              </w:rPr>
            </w:pPr>
          </w:p>
        </w:tc>
      </w:tr>
      <w:tr>
        <w:trPr>
          <w:trHeight w:val="256"/>
        </w:trPr>
        <w:tc>
          <w:tcPr>
            <w:tcW w:w="2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3.3 %</w:t>
            </w:r>
          </w:p>
        </w:tc>
        <w:tc>
          <w:tcPr>
            <w:tcW w:w="1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19.5 %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120" w:type="dxa"/>
            <w:vAlign w:val="bottom"/>
          </w:tcPr>
          <w:p>
            <w:pPr>
              <w:spacing w:after="0"/>
              <w:rPr>
                <w:sz w:val="22"/>
                <w:szCs w:val="22"/>
                <w:color w:val="auto"/>
              </w:rPr>
            </w:pPr>
          </w:p>
        </w:tc>
        <w:tc>
          <w:tcPr>
            <w:tcW w:w="1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1.8 %</w:t>
            </w:r>
          </w:p>
        </w:tc>
        <w:tc>
          <w:tcPr>
            <w:tcW w:w="15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21.2 %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8.2 %</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19.9 %</w:t>
            </w:r>
          </w:p>
        </w:tc>
        <w:tc>
          <w:tcPr>
            <w:tcW w:w="15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25.9 %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24.6 %</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14.8 %</w:t>
            </w:r>
          </w:p>
        </w:tc>
        <w:tc>
          <w:tcPr>
            <w:tcW w:w="15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20.0 %</w:t>
            </w:r>
          </w:p>
        </w:tc>
        <w:tc>
          <w:tcPr>
            <w:tcW w:w="0" w:type="dxa"/>
            <w:vAlign w:val="bottom"/>
          </w:tcPr>
          <w:p>
            <w:pPr>
              <w:spacing w:after="0"/>
              <w:rPr>
                <w:sz w:val="1"/>
                <w:szCs w:val="1"/>
                <w:color w:val="auto"/>
              </w:rPr>
            </w:pPr>
          </w:p>
        </w:tc>
      </w:tr>
      <w:tr>
        <w:trPr>
          <w:trHeight w:val="256"/>
        </w:trPr>
        <w:tc>
          <w:tcPr>
            <w:tcW w:w="2760" w:type="dxa"/>
            <w:vAlign w:val="bottom"/>
            <w:tcBorders>
              <w:bottom w:val="single" w:sz="8" w:color="auto"/>
            </w:tcBorders>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Market servicing rate </w:t>
            </w:r>
            <w:r>
              <w:rPr>
                <w:rFonts w:ascii="Times New Roman" w:cs="Times New Roman" w:eastAsia="Times New Roman" w:hAnsi="Times New Roman"/>
                <w:sz w:val="25"/>
                <w:szCs w:val="25"/>
                <w:color w:val="auto"/>
                <w:vertAlign w:val="superscript"/>
              </w:rPr>
              <w:t>(2)</w:t>
            </w:r>
          </w:p>
        </w:tc>
        <w:tc>
          <w:tcPr>
            <w:tcW w:w="14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0.58 %</w:t>
            </w:r>
          </w:p>
        </w:tc>
        <w:tc>
          <w:tcPr>
            <w:tcW w:w="1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rPr>
              <w:t>0.58 %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0.58 %</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0.62 %</w:t>
            </w:r>
          </w:p>
        </w:tc>
        <w:tc>
          <w:tcPr>
            <w:tcW w:w="1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0.62 %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0.62 %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weighted-average rate is calculated using the principal balance of each loan pool with similar risk characteristics.</w:t>
      </w:r>
    </w:p>
    <w:p>
      <w:pPr>
        <w:spacing w:after="0" w:line="60" w:lineRule="exact"/>
        <w:rPr>
          <w:rFonts w:ascii="Times New Roman" w:cs="Times New Roman" w:eastAsia="Times New Roman" w:hAnsi="Times New Roman"/>
          <w:sz w:val="26"/>
          <w:szCs w:val="26"/>
          <w:color w:val="auto"/>
          <w:vertAlign w:val="superscript"/>
        </w:rPr>
      </w:pPr>
    </w:p>
    <w:p>
      <w:pPr>
        <w:ind w:left="340" w:right="540" w:hanging="332"/>
        <w:spacing w:after="0" w:line="211" w:lineRule="auto"/>
        <w:tabs>
          <w:tab w:leader="none" w:pos="294" w:val="left"/>
        </w:tabs>
        <w:numPr>
          <w:ilvl w:val="0"/>
          <w:numId w:val="7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fees a willing market participant would require for the servicing of loans with similar characteristics as those in the Company’s serviced portfolio.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Sensitivity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sensitivity of the fair value of servicing assets to adverse changes in key assumptions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40" w:type="dxa"/>
            <w:vAlign w:val="bottom"/>
            <w:tcBorders>
              <w:top w:val="single" w:sz="8" w:color="auto"/>
              <w:bottom w:val="single" w:sz="8" w:color="auto"/>
            </w:tcBorders>
          </w:tcPr>
          <w:p>
            <w:pPr>
              <w:spacing w:after="0"/>
              <w:rPr>
                <w:sz w:val="23"/>
                <w:szCs w:val="23"/>
                <w:color w:val="auto"/>
              </w:rPr>
            </w:pPr>
          </w:p>
        </w:tc>
        <w:tc>
          <w:tcPr>
            <w:tcW w:w="22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of servicing assets</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65,167</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60,697</w:t>
            </w: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remaining weighted-average life (in years)</w:t>
            </w:r>
          </w:p>
        </w:tc>
        <w:tc>
          <w:tcPr>
            <w:tcW w:w="1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100 basis point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r>
      <w:tr>
        <w:trPr>
          <w:trHeight w:val="257"/>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200 basis point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(1,134)</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(1,038)</w:t>
            </w:r>
          </w:p>
        </w:tc>
      </w:tr>
      <w:tr>
        <w:trPr>
          <w:trHeight w:val="256"/>
        </w:trPr>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Annualized net credit loss rate:</w:t>
            </w:r>
          </w:p>
        </w:tc>
        <w:tc>
          <w:tcPr>
            <w:tcW w:w="12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57"/>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56"/>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w:t>
            </w:r>
          </w:p>
        </w:tc>
      </w:tr>
      <w:tr>
        <w:trPr>
          <w:trHeight w:val="25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Annualized prepayment rate:</w:t>
            </w:r>
          </w:p>
        </w:tc>
        <w:tc>
          <w:tcPr>
            <w:tcW w:w="12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6"/>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 increase</w:t>
            </w: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(1,892)</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w:t>
            </w:r>
          </w:p>
        </w:tc>
      </w:tr>
      <w:tr>
        <w:trPr>
          <w:trHeight w:val="256"/>
        </w:trPr>
        <w:tc>
          <w:tcPr>
            <w:tcW w:w="5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20% increase</w:t>
            </w: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(3,785)</w:t>
            </w:r>
          </w:p>
        </w:tc>
        <w:tc>
          <w:tcPr>
            <w:tcW w:w="3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(2,718)</w:t>
            </w: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Company’s selection of the most representative market servicing rates for servicing assets inherently require judgment. The Company reviews third-party servicing rates for its loans, loans in similar credit sectors, and market servicing benchmarking analyses provided by third-party valuation firms, when available. The table below shows the impact on the estimated fair value of servicing assets, calculated using different market servicing rate assumptions: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auto"/>
              <w:bottom w:val="single" w:sz="8" w:color="auto"/>
            </w:tcBorders>
          </w:tcPr>
          <w:p>
            <w:pPr>
              <w:spacing w:after="0"/>
              <w:rPr>
                <w:sz w:val="23"/>
                <w:szCs w:val="23"/>
                <w:color w:val="auto"/>
              </w:rPr>
            </w:pPr>
          </w:p>
        </w:tc>
        <w:tc>
          <w:tcPr>
            <w:tcW w:w="2020" w:type="dxa"/>
            <w:vAlign w:val="bottom"/>
            <w:tcBorders>
              <w:top w:val="single" w:sz="8" w:color="auto"/>
              <w:bottom w:val="single" w:sz="8" w:color="auto"/>
            </w:tcBorders>
          </w:tcPr>
          <w:p>
            <w:pPr>
              <w:spacing w:after="0"/>
              <w:rPr>
                <w:sz w:val="23"/>
                <w:szCs w:val="23"/>
                <w:color w:val="auto"/>
              </w:rPr>
            </w:pPr>
          </w:p>
        </w:tc>
        <w:tc>
          <w:tcPr>
            <w:tcW w:w="31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22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380" w:type="dxa"/>
            <w:vAlign w:val="bottom"/>
            <w:tcBorders>
              <w:top w:val="single" w:sz="8" w:color="auto"/>
              <w:bottom w:val="single" w:sz="8" w:color="auto"/>
            </w:tcBorders>
          </w:tcPr>
          <w:p>
            <w:pPr>
              <w:spacing w:after="0"/>
              <w:rPr>
                <w:sz w:val="23"/>
                <w:szCs w:val="23"/>
                <w:color w:val="auto"/>
              </w:rPr>
            </w:pPr>
          </w:p>
        </w:tc>
        <w:tc>
          <w:tcPr>
            <w:tcW w:w="224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2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Weighted-average market servicing rate assumptions</w:t>
            </w:r>
          </w:p>
        </w:tc>
        <w:tc>
          <w:tcPr>
            <w:tcW w:w="1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0.58 %</w:t>
            </w:r>
          </w:p>
        </w:tc>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0.62 %</w:t>
            </w:r>
          </w:p>
        </w:tc>
        <w:tc>
          <w:tcPr>
            <w:tcW w:w="2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from:</w:t>
            </w:r>
          </w:p>
        </w:tc>
        <w:tc>
          <w:tcPr>
            <w:tcW w:w="1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Market servicing rate increase by 0.10%</w:t>
            </w:r>
          </w:p>
        </w:tc>
        <w:tc>
          <w:tcPr>
            <w:tcW w:w="11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(7,289)</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(6,940)</w:t>
            </w:r>
          </w:p>
        </w:tc>
        <w:tc>
          <w:tcPr>
            <w:tcW w:w="20" w:type="dxa"/>
            <w:vAlign w:val="bottom"/>
            <w:shd w:val="clear" w:color="auto" w:fill="CCEEFF"/>
          </w:tcPr>
          <w:p>
            <w:pPr>
              <w:spacing w:after="0"/>
              <w:rPr>
                <w:sz w:val="22"/>
                <w:szCs w:val="22"/>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5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Market servicing rate decrease by 0.10%</w:t>
            </w:r>
          </w:p>
        </w:tc>
        <w:tc>
          <w:tcPr>
            <w:tcW w:w="11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7,289</w:t>
            </w:r>
          </w:p>
        </w:tc>
        <w:tc>
          <w:tcPr>
            <w:tcW w:w="3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6,940</w:t>
            </w:r>
          </w:p>
        </w:tc>
        <w:tc>
          <w:tcPr>
            <w:tcW w:w="20" w:type="dxa"/>
            <w:vAlign w:val="bottom"/>
            <w:tcBorders>
              <w:bottom w:val="single" w:sz="8" w:color="auto"/>
            </w:tcBorders>
          </w:tcPr>
          <w:p>
            <w:pPr>
              <w:spacing w:after="0"/>
              <w:rPr>
                <w:sz w:val="22"/>
                <w:szCs w:val="22"/>
                <w:color w:val="auto"/>
              </w:rPr>
            </w:pPr>
          </w:p>
        </w:tc>
      </w:tr>
      <w:tr>
        <w:trPr>
          <w:trHeight w:val="52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Fair Value Reconciliation</w:t>
            </w:r>
          </w:p>
        </w:tc>
        <w:tc>
          <w:tcPr>
            <w:tcW w:w="3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5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table presents servicing assets activity:</w:t>
            </w:r>
          </w:p>
        </w:tc>
        <w:tc>
          <w:tcPr>
            <w:tcW w:w="1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20" w:type="dxa"/>
            <w:vAlign w:val="bottom"/>
          </w:tcPr>
          <w:p>
            <w:pPr>
              <w:spacing w:after="0"/>
              <w:rPr>
                <w:sz w:val="6"/>
                <w:szCs w:val="6"/>
                <w:color w:val="auto"/>
              </w:rPr>
            </w:pPr>
          </w:p>
        </w:tc>
        <w:tc>
          <w:tcPr>
            <w:tcW w:w="5200" w:type="dxa"/>
            <w:vAlign w:val="bottom"/>
            <w:tcBorders>
              <w:bottom w:val="single" w:sz="8" w:color="auto"/>
            </w:tcBorders>
            <w:gridSpan w:val="2"/>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beginning of period</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60,697</w:t>
            </w:r>
          </w:p>
        </w:tc>
        <w:tc>
          <w:tcPr>
            <w:tcW w:w="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77,680</w:t>
            </w: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20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Issuances </w:t>
            </w:r>
            <w:r>
              <w:rPr>
                <w:rFonts w:ascii="Times New Roman" w:cs="Times New Roman" w:eastAsia="Times New Roman" w:hAnsi="Times New Roman"/>
                <w:sz w:val="25"/>
                <w:szCs w:val="25"/>
                <w:color w:val="auto"/>
                <w:vertAlign w:val="superscript"/>
              </w:rPr>
              <w:t>(1)</w:t>
            </w:r>
          </w:p>
        </w:tc>
        <w:tc>
          <w:tcPr>
            <w:tcW w:w="112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63,927</w:t>
            </w:r>
          </w:p>
        </w:tc>
        <w:tc>
          <w:tcPr>
            <w:tcW w:w="380" w:type="dxa"/>
            <w:vAlign w:val="bottom"/>
          </w:tcPr>
          <w:p>
            <w:pPr>
              <w:spacing w:after="0"/>
              <w:rPr>
                <w:sz w:val="22"/>
                <w:szCs w:val="22"/>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58,396</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fair value, included in Marketplace Revenue</w:t>
            </w:r>
          </w:p>
        </w:tc>
        <w:tc>
          <w:tcPr>
            <w:tcW w:w="112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(59,457)</w:t>
            </w:r>
          </w:p>
        </w:tc>
        <w:tc>
          <w:tcPr>
            <w:tcW w:w="38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(75,359)</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Other net changes</w:t>
            </w:r>
          </w:p>
        </w:tc>
        <w:tc>
          <w:tcPr>
            <w:tcW w:w="1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2"/>
                <w:szCs w:val="22"/>
                <w:color w:val="auto"/>
              </w:rPr>
            </w:pPr>
          </w:p>
        </w:tc>
      </w:tr>
      <w:tr>
        <w:trPr>
          <w:trHeight w:val="275"/>
        </w:trPr>
        <w:tc>
          <w:tcPr>
            <w:tcW w:w="20" w:type="dxa"/>
            <w:vAlign w:val="bottom"/>
          </w:tcPr>
          <w:p>
            <w:pPr>
              <w:spacing w:after="0"/>
              <w:rPr>
                <w:sz w:val="23"/>
                <w:szCs w:val="23"/>
                <w:color w:val="auto"/>
              </w:rPr>
            </w:pPr>
          </w:p>
        </w:tc>
        <w:tc>
          <w:tcPr>
            <w:tcW w:w="5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Fair value at end of period</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65,167</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60,697</w:t>
            </w:r>
          </w:p>
        </w:tc>
        <w:tc>
          <w:tcPr>
            <w:tcW w:w="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00" w:hanging="332"/>
        <w:spacing w:after="0" w:line="221" w:lineRule="auto"/>
        <w:tabs>
          <w:tab w:leader="none" w:pos="294"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servicing assets recorded when the loans are sold. Included in “Gain on sales of loans” within “Marketplace revenue” on the Income Statement.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Not Recorded at Fair Value</w:t>
      </w:r>
    </w:p>
    <w:p>
      <w:pPr>
        <w:spacing w:after="0" w:line="26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carrying amount and estimated fair values, by level within the fair value hierarchy, of the Company’s assets and liabilities that are not recorded at fair value on a recurring basis: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01"/>
              <w:spacing w:after="0" w:line="203"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440" w:type="dxa"/>
            <w:vAlign w:val="bottom"/>
            <w:tcBorders>
              <w:top w:val="single" w:sz="8" w:color="auto"/>
            </w:tcBorders>
            <w:gridSpan w:val="2"/>
          </w:tcPr>
          <w:p>
            <w:pPr>
              <w:ind w:left="100"/>
              <w:spacing w:after="0" w:line="203" w:lineRule="exact"/>
              <w:rPr>
                <w:sz w:val="20"/>
                <w:szCs w:val="20"/>
                <w:color w:val="auto"/>
              </w:rPr>
            </w:pPr>
            <w:r>
              <w:rPr>
                <w:rFonts w:ascii="Times New Roman" w:cs="Times New Roman" w:eastAsia="Times New Roman" w:hAnsi="Times New Roman"/>
                <w:sz w:val="20"/>
                <w:szCs w:val="20"/>
                <w:b w:val="1"/>
                <w:bCs w:val="1"/>
                <w:color w:val="auto"/>
              </w:rPr>
              <w:t>Balance at Fair</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auto"/>
            </w:tcBorders>
            <w:vMerge w:val="continue"/>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 net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3,997,069</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4,251,852</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4,251,852</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6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47,470</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47,312</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453</w:t>
            </w:r>
          </w:p>
        </w:tc>
        <w:tc>
          <w:tcPr>
            <w:tcW w:w="3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47,765</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4,044,539</w:t>
            </w:r>
          </w:p>
        </w:tc>
        <w:tc>
          <w:tcPr>
            <w:tcW w:w="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47,312</w:t>
            </w:r>
          </w:p>
        </w:tc>
        <w:tc>
          <w:tcPr>
            <w:tcW w:w="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4,252,305</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4,299,617</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Deposits </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2,434,422</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2,437,209</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2,437,209</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liabilities</w:t>
            </w:r>
          </w:p>
        </w:tc>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40,931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11,926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29,005</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40,931</w:t>
            </w:r>
          </w:p>
        </w:tc>
        <w:tc>
          <w:tcPr>
            <w:tcW w:w="0" w:type="dxa"/>
            <w:vAlign w:val="bottom"/>
          </w:tcPr>
          <w:p>
            <w:pPr>
              <w:spacing w:after="0"/>
              <w:rPr>
                <w:sz w:val="1"/>
                <w:szCs w:val="1"/>
                <w:color w:val="auto"/>
              </w:rPr>
            </w:pPr>
          </w:p>
        </w:tc>
      </w:tr>
      <w:tr>
        <w:trPr>
          <w:trHeight w:val="275"/>
        </w:trPr>
        <w:tc>
          <w:tcPr>
            <w:tcW w:w="3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2,475,353</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11,926</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2,466,214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2,478,140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01"/>
              <w:spacing w:after="0" w:line="203"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420" w:type="dxa"/>
            <w:vAlign w:val="bottom"/>
            <w:tcBorders>
              <w:top w:val="single" w:sz="8" w:color="auto"/>
            </w:tcBorders>
            <w:gridSpan w:val="2"/>
          </w:tcPr>
          <w:p>
            <w:pPr>
              <w:ind w:left="100"/>
              <w:spacing w:after="0" w:line="203" w:lineRule="exact"/>
              <w:rPr>
                <w:sz w:val="20"/>
                <w:szCs w:val="20"/>
                <w:color w:val="auto"/>
              </w:rPr>
            </w:pPr>
            <w:r>
              <w:rPr>
                <w:rFonts w:ascii="Times New Roman" w:cs="Times New Roman" w:eastAsia="Times New Roman" w:hAnsi="Times New Roman"/>
                <w:sz w:val="20"/>
                <w:szCs w:val="20"/>
                <w:b w:val="1"/>
                <w:bCs w:val="1"/>
                <w:color w:val="auto"/>
                <w:w w:val="99"/>
              </w:rPr>
              <w:t>Balance at Fair</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auto"/>
            </w:tcBorders>
            <w:vMerge w:val="continue"/>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Value</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 net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3,889,084</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4,051,497</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4,051,497</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6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40,466</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40,143</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661</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40,804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3,929,550</w:t>
            </w:r>
          </w:p>
        </w:tc>
        <w:tc>
          <w:tcPr>
            <w:tcW w:w="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40,143</w:t>
            </w:r>
          </w:p>
        </w:tc>
        <w:tc>
          <w:tcPr>
            <w:tcW w:w="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4,052,158</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4,092,301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7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Deposits </w:t>
            </w:r>
            <w:r>
              <w:rPr>
                <w:rFonts w:ascii="Times New Roman" w:cs="Times New Roman" w:eastAsia="Times New Roman" w:hAnsi="Times New Roman"/>
                <w:sz w:val="25"/>
                <w:szCs w:val="25"/>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2,294,214</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2,306,373</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2,306,373</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Other liabilities</w:t>
            </w: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44,801</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22,833</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21,968</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44,801</w:t>
            </w:r>
          </w:p>
        </w:tc>
        <w:tc>
          <w:tcPr>
            <w:tcW w:w="0" w:type="dxa"/>
            <w:vAlign w:val="bottom"/>
          </w:tcPr>
          <w:p>
            <w:pPr>
              <w:spacing w:after="0"/>
              <w:rPr>
                <w:sz w:val="1"/>
                <w:szCs w:val="1"/>
                <w:color w:val="auto"/>
              </w:rPr>
            </w:pPr>
          </w:p>
        </w:tc>
      </w:tr>
      <w:tr>
        <w:trPr>
          <w:trHeight w:val="275"/>
        </w:trPr>
        <w:tc>
          <w:tcPr>
            <w:tcW w:w="3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2,339,015</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22,833</w:t>
            </w:r>
          </w:p>
        </w:tc>
        <w:tc>
          <w:tcPr>
            <w:tcW w:w="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2,328,341</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2,351,174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Excludes deposit liabilities with no defined or contractual maturities.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Derivative Instruments and Hedging Activities</w:t>
      </w:r>
    </w:p>
    <w:p>
      <w:pPr>
        <w:spacing w:after="0" w:line="2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Company uses derivative instruments, including interest rate contracts such as caps and swaps, to manage exposure to interest rate risk associated with its fixed-rate assets. The Company’s interest rate contracts are indexed to the Secured Overnight Financing Rate (SOFR). Interest rate swaps involve the payment of fixed-rate amounts to a counterparty in exchange for the receipt of variable-rate payments. With interest rate caps, the Company receives payments from a counterparty when SOFR exceeds a specified strike rate.</w:t>
      </w:r>
    </w:p>
    <w:p>
      <w:pPr>
        <w:spacing w:after="0" w:line="213"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In addition, the Company provides credit support agreements to a limited number of strategic investors which are accounted for as credit derivative liabilities.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 Not Designated as Accounting Hedges</w:t>
      </w:r>
    </w:p>
    <w:p>
      <w:pPr>
        <w:spacing w:after="0" w:line="260"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The table below presents the notional and gross fair value amounts of the Company’s derivatives that are not designated as accounting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200" w:type="dxa"/>
            <w:vAlign w:val="bottom"/>
            <w:tcBorders>
              <w:bottom w:val="single" w:sz="8" w:color="auto"/>
            </w:tcBorders>
          </w:tcPr>
          <w:p>
            <w:pPr>
              <w:spacing w:after="0"/>
              <w:rPr>
                <w:sz w:val="23"/>
                <w:szCs w:val="23"/>
                <w:color w:val="auto"/>
              </w:rPr>
            </w:pPr>
          </w:p>
        </w:tc>
      </w:tr>
      <w:tr>
        <w:trPr>
          <w:trHeight w:val="213"/>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42"/>
              <w:spacing w:after="0" w:line="213" w:lineRule="exact"/>
              <w:rPr>
                <w:sz w:val="20"/>
                <w:szCs w:val="20"/>
                <w:color w:val="auto"/>
              </w:rPr>
            </w:pPr>
            <w:r>
              <w:rPr>
                <w:rFonts w:ascii="Times New Roman" w:cs="Times New Roman" w:eastAsia="Times New Roman" w:hAnsi="Times New Roman"/>
                <w:sz w:val="20"/>
                <w:szCs w:val="20"/>
                <w:b w:val="1"/>
                <w:bCs w:val="1"/>
                <w:color w:val="auto"/>
              </w:rPr>
              <w:t>Derivative</w:t>
            </w:r>
          </w:p>
        </w:tc>
        <w:tc>
          <w:tcPr>
            <w:tcW w:w="260" w:type="dxa"/>
            <w:vAlign w:val="bottom"/>
          </w:tcPr>
          <w:p>
            <w:pPr>
              <w:spacing w:after="0"/>
              <w:rPr>
                <w:sz w:val="18"/>
                <w:szCs w:val="18"/>
                <w:color w:val="auto"/>
              </w:rPr>
            </w:pPr>
          </w:p>
        </w:tc>
        <w:tc>
          <w:tcPr>
            <w:tcW w:w="12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0"/>
                <w:szCs w:val="20"/>
                <w:b w:val="1"/>
                <w:bCs w:val="1"/>
                <w:color w:val="auto"/>
              </w:rPr>
              <w:t>Derivative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b w:val="1"/>
                <w:bCs w:val="1"/>
                <w:color w:val="auto"/>
              </w:rPr>
              <w:t>Derivative</w:t>
            </w:r>
          </w:p>
        </w:tc>
        <w:tc>
          <w:tcPr>
            <w:tcW w:w="240" w:type="dxa"/>
            <w:vAlign w:val="bottom"/>
          </w:tcPr>
          <w:p>
            <w:pPr>
              <w:spacing w:after="0"/>
              <w:rPr>
                <w:sz w:val="18"/>
                <w:szCs w:val="18"/>
                <w:color w:val="auto"/>
              </w:rPr>
            </w:pPr>
          </w:p>
        </w:tc>
        <w:tc>
          <w:tcPr>
            <w:tcW w:w="120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b w:val="1"/>
                <w:bCs w:val="1"/>
                <w:color w:val="auto"/>
              </w:rPr>
              <w:t>Derivative</w:t>
            </w:r>
          </w:p>
        </w:tc>
      </w:tr>
      <w:tr>
        <w:trPr>
          <w:trHeight w:val="283"/>
        </w:trPr>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62"/>
              <w:spacing w:after="0" w:line="283" w:lineRule="exact"/>
              <w:rPr>
                <w:sz w:val="20"/>
                <w:szCs w:val="20"/>
                <w:color w:val="auto"/>
              </w:rPr>
            </w:pPr>
            <w:r>
              <w:rPr>
                <w:rFonts w:ascii="Times New Roman" w:cs="Times New Roman" w:eastAsia="Times New Roman" w:hAnsi="Times New Roman"/>
                <w:sz w:val="20"/>
                <w:szCs w:val="20"/>
                <w:b w:val="1"/>
                <w:bCs w:val="1"/>
                <w:color w:val="auto"/>
              </w:rPr>
              <w:t xml:space="preserve">Asset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60"/>
              <w:spacing w:after="0" w:line="283" w:lineRule="exact"/>
              <w:rPr>
                <w:sz w:val="20"/>
                <w:szCs w:val="20"/>
                <w:color w:val="auto"/>
              </w:rPr>
            </w:pPr>
            <w:r>
              <w:rPr>
                <w:rFonts w:ascii="Times New Roman" w:cs="Times New Roman" w:eastAsia="Times New Roman" w:hAnsi="Times New Roman"/>
                <w:sz w:val="20"/>
                <w:szCs w:val="20"/>
                <w:b w:val="1"/>
                <w:bCs w:val="1"/>
                <w:color w:val="auto"/>
              </w:rPr>
              <w:t xml:space="preserve">Liability </w:t>
            </w:r>
            <w:r>
              <w:rPr>
                <w:rFonts w:ascii="Times New Roman" w:cs="Times New Roman" w:eastAsia="Times New Roman" w:hAnsi="Times New Roman"/>
                <w:sz w:val="25"/>
                <w:szCs w:val="25"/>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80"/>
              <w:spacing w:after="0" w:line="283" w:lineRule="exact"/>
              <w:rPr>
                <w:sz w:val="20"/>
                <w:szCs w:val="20"/>
                <w:color w:val="auto"/>
              </w:rPr>
            </w:pPr>
            <w:r>
              <w:rPr>
                <w:rFonts w:ascii="Times New Roman" w:cs="Times New Roman" w:eastAsia="Times New Roman" w:hAnsi="Times New Roman"/>
                <w:sz w:val="20"/>
                <w:szCs w:val="20"/>
                <w:b w:val="1"/>
                <w:bCs w:val="1"/>
                <w:color w:val="auto"/>
              </w:rPr>
              <w:t xml:space="preserve">Asset </w:t>
            </w:r>
            <w:r>
              <w:rPr>
                <w:rFonts w:ascii="Times New Roman" w:cs="Times New Roman" w:eastAsia="Times New Roman" w:hAnsi="Times New Roman"/>
                <w:sz w:val="25"/>
                <w:szCs w:val="25"/>
                <w:b w:val="1"/>
                <w:bCs w:val="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line="283" w:lineRule="exact"/>
              <w:rPr>
                <w:sz w:val="20"/>
                <w:szCs w:val="20"/>
                <w:color w:val="auto"/>
              </w:rPr>
            </w:pPr>
            <w:r>
              <w:rPr>
                <w:rFonts w:ascii="Times New Roman" w:cs="Times New Roman" w:eastAsia="Times New Roman" w:hAnsi="Times New Roman"/>
                <w:sz w:val="20"/>
                <w:szCs w:val="20"/>
                <w:b w:val="1"/>
                <w:bCs w:val="1"/>
                <w:color w:val="auto"/>
              </w:rPr>
              <w:t xml:space="preserve">Liability </w:t>
            </w:r>
            <w:r>
              <w:rPr>
                <w:rFonts w:ascii="Times New Roman" w:cs="Times New Roman" w:eastAsia="Times New Roman" w:hAnsi="Times New Roman"/>
                <w:sz w:val="25"/>
                <w:szCs w:val="25"/>
                <w:b w:val="1"/>
                <w:bCs w:val="1"/>
                <w:color w:val="auto"/>
                <w:vertAlign w:val="superscript"/>
              </w:rPr>
              <w:t>(1)</w:t>
            </w:r>
          </w:p>
        </w:tc>
      </w:tr>
      <w:tr>
        <w:trPr>
          <w:trHeight w:val="26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Credit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12,484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(10,930)</w:t>
            </w:r>
          </w:p>
        </w:tc>
      </w:tr>
      <w:tr>
        <w:trPr>
          <w:trHeight w:val="108"/>
        </w:trPr>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7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rate contracts:</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6"/>
        </w:trPr>
        <w:tc>
          <w:tcPr>
            <w:tcW w:w="2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rate caps</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325,000</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60" w:type="dxa"/>
            <w:vAlign w:val="bottom"/>
          </w:tcPr>
          <w:p>
            <w:pPr>
              <w:spacing w:after="0"/>
              <w:rPr>
                <w:sz w:val="23"/>
                <w:szCs w:val="23"/>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300" w:type="dxa"/>
            <w:vAlign w:val="bottom"/>
          </w:tcPr>
          <w:p>
            <w:pPr>
              <w:spacing w:after="0"/>
              <w:rPr>
                <w:sz w:val="23"/>
                <w:szCs w:val="23"/>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2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rate swaps</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interest rate contracts</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w:t>
            </w:r>
          </w:p>
        </w:tc>
      </w:tr>
      <w:tr>
        <w:trPr>
          <w:trHeight w:val="146"/>
        </w:trPr>
        <w:tc>
          <w:tcPr>
            <w:tcW w:w="28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r>
      <w:tr>
        <w:trPr>
          <w:trHeight w:val="260"/>
        </w:trPr>
        <w:tc>
          <w:tcPr>
            <w:tcW w:w="2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453,737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212,484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(10,930)</w:t>
            </w:r>
          </w:p>
        </w:tc>
      </w:tr>
      <w:tr>
        <w:trPr>
          <w:trHeight w:val="24"/>
        </w:trPr>
        <w:tc>
          <w:tcPr>
            <w:tcW w:w="2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ind w:left="340" w:right="320" w:hanging="332"/>
        <w:spacing w:after="0" w:line="227" w:lineRule="auto"/>
        <w:tabs>
          <w:tab w:leader="none" w:pos="294" w:val="left"/>
        </w:tabs>
        <w:numPr>
          <w:ilvl w:val="0"/>
          <w:numId w:val="7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“Other assets” or “Other liabilities,” as applicable, on the Balance Sheet and in “Operating activities” on the Statement of Cash Flows.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Credit derivatives represent credit support agreements related to loan sales, whereby the Company is obligated to make payments to a limited number of strategic investors approximately 18 months after sale if credit losses exceed certain initial agreed-upon thresholds, subject to a maximum dollar amount. The notional amount represents the Company’s maximum dollar exposure.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gains (losses) recognized on the Company’s derivatives that are not designated as accounting hedges: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940" w:type="dxa"/>
            <w:vAlign w:val="bottom"/>
            <w:tcBorders>
              <w:top w:val="single" w:sz="8" w:color="auto"/>
              <w:bottom w:val="single" w:sz="8" w:color="auto"/>
            </w:tcBorders>
          </w:tcPr>
          <w:p>
            <w:pPr>
              <w:spacing w:after="0"/>
              <w:rPr>
                <w:sz w:val="23"/>
                <w:szCs w:val="23"/>
                <w:color w:val="auto"/>
              </w:rPr>
            </w:pPr>
          </w:p>
        </w:tc>
        <w:tc>
          <w:tcPr>
            <w:tcW w:w="16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Borders>
              <w:top w:val="single" w:sz="8" w:color="auto"/>
              <w:bottom w:val="single" w:sz="8" w:color="auto"/>
            </w:tcBorders>
          </w:tcPr>
          <w:p>
            <w:pPr>
              <w:spacing w:after="0"/>
              <w:rPr>
                <w:sz w:val="23"/>
                <w:szCs w:val="23"/>
                <w:color w:val="auto"/>
              </w:rPr>
            </w:pPr>
          </w:p>
        </w:tc>
        <w:tc>
          <w:tcPr>
            <w:tcW w:w="16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4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3"/>
        </w:trPr>
        <w:tc>
          <w:tcPr>
            <w:tcW w:w="36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20"/>
                <w:szCs w:val="20"/>
                <w:color w:val="auto"/>
              </w:rPr>
              <w:t xml:space="preserve">Credit derivatives </w:t>
            </w:r>
            <w:r>
              <w:rPr>
                <w:rFonts w:ascii="Times New Roman" w:cs="Times New Roman" w:eastAsia="Times New Roman" w:hAnsi="Times New Roman"/>
                <w:sz w:val="25"/>
                <w:szCs w:val="25"/>
                <w:color w:val="auto"/>
                <w:vertAlign w:val="superscript"/>
              </w:rPr>
              <w:t>(1)</w:t>
            </w:r>
          </w:p>
        </w:tc>
        <w:tc>
          <w:tcPr>
            <w:tcW w:w="19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3,528</w:t>
            </w:r>
          </w:p>
        </w:tc>
        <w:tc>
          <w:tcPr>
            <w:tcW w:w="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(4,558)</w:t>
            </w:r>
          </w:p>
        </w:tc>
        <w:tc>
          <w:tcPr>
            <w:tcW w:w="4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(6,372)</w:t>
            </w:r>
          </w:p>
        </w:tc>
      </w:tr>
      <w:tr>
        <w:trPr>
          <w:trHeight w:val="270"/>
        </w:trPr>
        <w:tc>
          <w:tcPr>
            <w:tcW w:w="368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20"/>
                <w:szCs w:val="20"/>
                <w:color w:val="auto"/>
              </w:rPr>
              <w:t xml:space="preserve">Interest rate contracts </w:t>
            </w:r>
            <w:r>
              <w:rPr>
                <w:rFonts w:ascii="Times New Roman" w:cs="Times New Roman" w:eastAsia="Times New Roman" w:hAnsi="Times New Roman"/>
                <w:sz w:val="25"/>
                <w:szCs w:val="25"/>
                <w:color w:val="auto"/>
                <w:vertAlign w:val="superscript"/>
              </w:rPr>
              <w:t>(2)</w:t>
            </w:r>
          </w:p>
        </w:tc>
        <w:tc>
          <w:tcPr>
            <w:tcW w:w="19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5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4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36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Total gains (losses)</w:t>
            </w:r>
          </w:p>
        </w:tc>
        <w:tc>
          <w:tcPr>
            <w:tcW w:w="19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3,054</w:t>
            </w:r>
          </w:p>
        </w:tc>
        <w:tc>
          <w:tcPr>
            <w:tcW w:w="5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(4,952)</w:t>
            </w:r>
          </w:p>
        </w:tc>
        <w:tc>
          <w:tcPr>
            <w:tcW w:w="4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(6,372)</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240" w:hanging="332"/>
        <w:spacing w:after="0" w:line="221" w:lineRule="auto"/>
        <w:tabs>
          <w:tab w:leader="none" w:pos="294"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initial fair value of the credit derivative liabilities is recorded in “Gain on sales of loans” with incremental changes in the fair value recorded in “Net fair value adjustments,” both within “Marketplace revenue” on the Income Statement.</w:t>
      </w:r>
    </w:p>
    <w:p>
      <w:pPr>
        <w:ind w:left="280" w:hanging="272"/>
        <w:spacing w:after="0" w:line="238" w:lineRule="auto"/>
        <w:tabs>
          <w:tab w:leader="none" w:pos="280" w:val="left"/>
        </w:tabs>
        <w:numPr>
          <w:ilvl w:val="0"/>
          <w:numId w:val="7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“Net fair value adjustments” within “Marketplace revenue” on the Income Statement.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Derivatives Designated as Accounting Hedges</w:t>
      </w:r>
    </w:p>
    <w:p>
      <w:pPr>
        <w:spacing w:after="0" w:line="260"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table below presents the notional and gross fair value amounts of the Company’s interest rate swaps that are designated as fair value hedges: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00" w:type="dxa"/>
            <w:vAlign w:val="bottom"/>
            <w:tcBorders>
              <w:top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760" w:type="dxa"/>
            <w:vAlign w:val="bottom"/>
            <w:tcBorders>
              <w:top w:val="single" w:sz="8" w:color="auto"/>
              <w:bottom w:val="single" w:sz="8" w:color="auto"/>
            </w:tcBorders>
            <w:gridSpan w:val="3"/>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116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760" w:type="dxa"/>
            <w:vAlign w:val="bottom"/>
            <w:tcBorders>
              <w:top w:val="single" w:sz="8" w:color="auto"/>
              <w:bottom w:val="single" w:sz="8" w:color="auto"/>
            </w:tcBorders>
            <w:gridSpan w:val="3"/>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118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340" w:type="dxa"/>
            <w:vAlign w:val="bottom"/>
          </w:tcPr>
          <w:p>
            <w:pPr>
              <w:spacing w:after="0"/>
              <w:rPr>
                <w:sz w:val="15"/>
                <w:szCs w:val="15"/>
                <w:color w:val="auto"/>
              </w:rPr>
            </w:pPr>
          </w:p>
        </w:tc>
        <w:tc>
          <w:tcPr>
            <w:tcW w:w="1180" w:type="dxa"/>
            <w:vAlign w:val="bottom"/>
          </w:tcPr>
          <w:p>
            <w:pPr>
              <w:jc w:val="center"/>
              <w:ind w:right="121"/>
              <w:spacing w:after="0" w:line="183" w:lineRule="exact"/>
              <w:rPr>
                <w:sz w:val="20"/>
                <w:szCs w:val="20"/>
                <w:color w:val="auto"/>
              </w:rPr>
            </w:pPr>
            <w:r>
              <w:rPr>
                <w:rFonts w:ascii="Times New Roman" w:cs="Times New Roman" w:eastAsia="Times New Roman" w:hAnsi="Times New Roman"/>
                <w:sz w:val="20"/>
                <w:szCs w:val="20"/>
                <w:b w:val="1"/>
                <w:bCs w:val="1"/>
                <w:color w:val="auto"/>
                <w:w w:val="98"/>
              </w:rPr>
              <w:t>Derivative</w:t>
            </w:r>
          </w:p>
        </w:tc>
        <w:tc>
          <w:tcPr>
            <w:tcW w:w="240" w:type="dxa"/>
            <w:vAlign w:val="bottom"/>
          </w:tcPr>
          <w:p>
            <w:pPr>
              <w:spacing w:after="0"/>
              <w:rPr>
                <w:sz w:val="15"/>
                <w:szCs w:val="15"/>
                <w:color w:val="auto"/>
              </w:rPr>
            </w:pPr>
          </w:p>
        </w:tc>
        <w:tc>
          <w:tcPr>
            <w:tcW w:w="1160" w:type="dxa"/>
            <w:vAlign w:val="bottom"/>
          </w:tcPr>
          <w:p>
            <w:pPr>
              <w:ind w:left="60"/>
              <w:spacing w:after="0" w:line="183" w:lineRule="exact"/>
              <w:rPr>
                <w:sz w:val="20"/>
                <w:szCs w:val="20"/>
                <w:color w:val="auto"/>
              </w:rPr>
            </w:pPr>
            <w:r>
              <w:rPr>
                <w:rFonts w:ascii="Times New Roman" w:cs="Times New Roman" w:eastAsia="Times New Roman" w:hAnsi="Times New Roman"/>
                <w:sz w:val="20"/>
                <w:szCs w:val="20"/>
                <w:b w:val="1"/>
                <w:bCs w:val="1"/>
                <w:color w:val="auto"/>
              </w:rPr>
              <w:t>Derivative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320" w:type="dxa"/>
            <w:vAlign w:val="bottom"/>
          </w:tcPr>
          <w:p>
            <w:pPr>
              <w:spacing w:after="0"/>
              <w:rPr>
                <w:sz w:val="15"/>
                <w:szCs w:val="15"/>
                <w:color w:val="auto"/>
              </w:rPr>
            </w:pPr>
          </w:p>
        </w:tc>
        <w:tc>
          <w:tcPr>
            <w:tcW w:w="1200" w:type="dxa"/>
            <w:vAlign w:val="bottom"/>
          </w:tcPr>
          <w:p>
            <w:pPr>
              <w:jc w:val="center"/>
              <w:ind w:right="101"/>
              <w:spacing w:after="0" w:line="183" w:lineRule="exact"/>
              <w:rPr>
                <w:sz w:val="20"/>
                <w:szCs w:val="20"/>
                <w:color w:val="auto"/>
              </w:rPr>
            </w:pPr>
            <w:r>
              <w:rPr>
                <w:rFonts w:ascii="Times New Roman" w:cs="Times New Roman" w:eastAsia="Times New Roman" w:hAnsi="Times New Roman"/>
                <w:sz w:val="20"/>
                <w:szCs w:val="20"/>
                <w:b w:val="1"/>
                <w:bCs w:val="1"/>
                <w:color w:val="auto"/>
                <w:w w:val="98"/>
              </w:rPr>
              <w:t>Derivative</w:t>
            </w:r>
          </w:p>
        </w:tc>
        <w:tc>
          <w:tcPr>
            <w:tcW w:w="240" w:type="dxa"/>
            <w:vAlign w:val="bottom"/>
          </w:tcPr>
          <w:p>
            <w:pPr>
              <w:spacing w:after="0"/>
              <w:rPr>
                <w:sz w:val="15"/>
                <w:szCs w:val="15"/>
                <w:color w:val="auto"/>
              </w:rPr>
            </w:pPr>
          </w:p>
        </w:tc>
        <w:tc>
          <w:tcPr>
            <w:tcW w:w="118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20"/>
                <w:szCs w:val="20"/>
                <w:b w:val="1"/>
                <w:bCs w:val="1"/>
                <w:color w:val="auto"/>
              </w:rPr>
              <w:t>Derivative</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1"/>
              <w:spacing w:after="0" w:line="256" w:lineRule="exact"/>
              <w:rPr>
                <w:sz w:val="20"/>
                <w:szCs w:val="20"/>
                <w:color w:val="auto"/>
              </w:rPr>
            </w:pPr>
            <w:r>
              <w:rPr>
                <w:rFonts w:ascii="Times New Roman" w:cs="Times New Roman" w:eastAsia="Times New Roman" w:hAnsi="Times New Roman"/>
                <w:sz w:val="20"/>
                <w:szCs w:val="20"/>
                <w:b w:val="1"/>
                <w:bCs w:val="1"/>
                <w:color w:val="auto"/>
                <w:w w:val="94"/>
              </w:rPr>
              <w:t xml:space="preserve">Asset </w:t>
            </w:r>
            <w:r>
              <w:rPr>
                <w:rFonts w:ascii="Times New Roman" w:cs="Times New Roman" w:eastAsia="Times New Roman" w:hAnsi="Times New Roman"/>
                <w:sz w:val="25"/>
                <w:szCs w:val="25"/>
                <w:b w:val="1"/>
                <w:bCs w:val="1"/>
                <w:color w:val="auto"/>
                <w:w w:val="94"/>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40"/>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Liability </w:t>
            </w:r>
            <w:r>
              <w:rPr>
                <w:rFonts w:ascii="Times New Roman" w:cs="Times New Roman" w:eastAsia="Times New Roman" w:hAnsi="Times New Roman"/>
                <w:sz w:val="25"/>
                <w:szCs w:val="25"/>
                <w:b w:val="1"/>
                <w:bCs w:val="1"/>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01"/>
              <w:spacing w:after="0" w:line="256" w:lineRule="exact"/>
              <w:rPr>
                <w:sz w:val="20"/>
                <w:szCs w:val="20"/>
                <w:color w:val="auto"/>
              </w:rPr>
            </w:pPr>
            <w:r>
              <w:rPr>
                <w:rFonts w:ascii="Times New Roman" w:cs="Times New Roman" w:eastAsia="Times New Roman" w:hAnsi="Times New Roman"/>
                <w:sz w:val="20"/>
                <w:szCs w:val="20"/>
                <w:b w:val="1"/>
                <w:bCs w:val="1"/>
                <w:color w:val="auto"/>
                <w:w w:val="91"/>
              </w:rPr>
              <w:t xml:space="preserve">Asset </w:t>
            </w:r>
            <w:r>
              <w:rPr>
                <w:rFonts w:ascii="Times New Roman" w:cs="Times New Roman" w:eastAsia="Times New Roman" w:hAnsi="Times New Roman"/>
                <w:sz w:val="25"/>
                <w:szCs w:val="25"/>
                <w:b w:val="1"/>
                <w:bCs w:val="1"/>
                <w:color w:val="auto"/>
                <w:w w:val="91"/>
                <w:vertAlign w:val="superscript"/>
              </w:rPr>
              <w:t>(1)</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1"/>
              <w:spacing w:after="0" w:line="256" w:lineRule="exact"/>
              <w:rPr>
                <w:sz w:val="20"/>
                <w:szCs w:val="20"/>
                <w:color w:val="auto"/>
              </w:rPr>
            </w:pPr>
            <w:r>
              <w:rPr>
                <w:rFonts w:ascii="Times New Roman" w:cs="Times New Roman" w:eastAsia="Times New Roman" w:hAnsi="Times New Roman"/>
                <w:sz w:val="20"/>
                <w:szCs w:val="20"/>
                <w:b w:val="1"/>
                <w:bCs w:val="1"/>
                <w:color w:val="auto"/>
                <w:w w:val="96"/>
              </w:rPr>
              <w:t xml:space="preserve">Liability </w:t>
            </w:r>
            <w:r>
              <w:rPr>
                <w:rFonts w:ascii="Times New Roman" w:cs="Times New Roman" w:eastAsia="Times New Roman" w:hAnsi="Times New Roman"/>
                <w:sz w:val="25"/>
                <w:szCs w:val="25"/>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Unsecured personal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1,075,000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(2,976)</w:t>
            </w:r>
          </w:p>
        </w:tc>
        <w:tc>
          <w:tcPr>
            <w:tcW w:w="0" w:type="dxa"/>
            <w:vAlign w:val="bottom"/>
          </w:tcPr>
          <w:p>
            <w:pPr>
              <w:spacing w:after="0"/>
              <w:rPr>
                <w:sz w:val="1"/>
                <w:szCs w:val="1"/>
                <w:color w:val="auto"/>
              </w:rPr>
            </w:pPr>
          </w:p>
        </w:tc>
      </w:tr>
      <w:tr>
        <w:trPr>
          <w:trHeight w:val="256"/>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475,000</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146</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225,000</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2,382</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2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Total interest rate swaps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1,050,000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(2,340)</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1,300,000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3,705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320" w:hanging="332"/>
        <w:spacing w:after="0" w:line="221" w:lineRule="auto"/>
        <w:tabs>
          <w:tab w:leader="none" w:pos="294" w:val="left"/>
        </w:tabs>
        <w:numPr>
          <w:ilvl w:val="0"/>
          <w:numId w:val="7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“Other assets” or “Other liabilities,” as applicable, on the Balance Sheet and in “Operating activities” on the Statement of Cash Flows.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gains (losses) recognized on the Company’s fair value hedges: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6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6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Unsecured personal loans:</w:t>
            </w:r>
          </w:p>
        </w:tc>
        <w:tc>
          <w:tcPr>
            <w:tcW w:w="9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Hedged item</w:t>
            </w:r>
          </w:p>
        </w:tc>
        <w:tc>
          <w:tcPr>
            <w:tcW w:w="9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4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(7,009)</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8,881</w:t>
            </w:r>
          </w:p>
        </w:tc>
      </w:tr>
      <w:tr>
        <w:trPr>
          <w:trHeight w:val="25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Derivatives</w:t>
            </w:r>
          </w:p>
        </w:tc>
        <w:tc>
          <w:tcPr>
            <w:tcW w:w="9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168</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6,894</w:t>
            </w: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(8,547)</w:t>
            </w:r>
          </w:p>
        </w:tc>
      </w:tr>
      <w:tr>
        <w:trPr>
          <w:trHeight w:val="257"/>
        </w:trPr>
        <w:tc>
          <w:tcPr>
            <w:tcW w:w="5220" w:type="dxa"/>
            <w:vAlign w:val="bottom"/>
            <w:tcBorders>
              <w:bottom w:val="single" w:sz="8" w:color="auto"/>
            </w:tcBorders>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Interest settlement on derivative </w:t>
            </w:r>
            <w:r>
              <w:rPr>
                <w:rFonts w:ascii="Times New Roman" w:cs="Times New Roman" w:eastAsia="Times New Roman" w:hAnsi="Times New Roman"/>
                <w:sz w:val="25"/>
                <w:szCs w:val="25"/>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4,539</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2,514</w:t>
            </w:r>
          </w:p>
        </w:tc>
      </w:tr>
      <w:tr>
        <w:trPr>
          <w:trHeight w:val="250"/>
        </w:trPr>
        <w:tc>
          <w:tcPr>
            <w:tcW w:w="522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Total (losses) gains on hedged unsecured personal loans </w:t>
            </w:r>
            <w:r>
              <w:rPr>
                <w:rFonts w:ascii="Times New Roman" w:cs="Times New Roman" w:eastAsia="Times New Roman" w:hAnsi="Times New Roman"/>
                <w:sz w:val="25"/>
                <w:szCs w:val="25"/>
                <w:color w:val="auto"/>
                <w:vertAlign w:val="superscript"/>
              </w:rPr>
              <w:t>(2)</w:t>
            </w:r>
          </w:p>
        </w:tc>
        <w:tc>
          <w:tcPr>
            <w:tcW w:w="9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4,424</w:t>
            </w:r>
          </w:p>
        </w:tc>
        <w:tc>
          <w:tcPr>
            <w:tcW w:w="4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2,848</w:t>
            </w:r>
          </w:p>
        </w:tc>
      </w:tr>
      <w:tr>
        <w:trPr>
          <w:trHeight w:val="88"/>
        </w:trPr>
        <w:tc>
          <w:tcPr>
            <w:tcW w:w="5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5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9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Hedged item</w:t>
            </w:r>
          </w:p>
        </w:tc>
        <w:tc>
          <w:tcPr>
            <w:tcW w:w="96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2,924</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4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Derivatives</w:t>
            </w:r>
          </w:p>
        </w:tc>
        <w:tc>
          <w:tcPr>
            <w:tcW w:w="9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(3,010)</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2,382</w:t>
            </w: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220" w:type="dxa"/>
            <w:vAlign w:val="bottom"/>
            <w:tcBorders>
              <w:bottom w:val="single" w:sz="8" w:color="auto"/>
            </w:tcBorders>
          </w:tcPr>
          <w:p>
            <w:pPr>
              <w:ind w:left="180"/>
              <w:spacing w:after="0" w:line="257" w:lineRule="exact"/>
              <w:rPr>
                <w:sz w:val="20"/>
                <w:szCs w:val="20"/>
                <w:color w:val="auto"/>
              </w:rPr>
            </w:pPr>
            <w:r>
              <w:rPr>
                <w:rFonts w:ascii="Times New Roman" w:cs="Times New Roman" w:eastAsia="Times New Roman" w:hAnsi="Times New Roman"/>
                <w:sz w:val="20"/>
                <w:szCs w:val="20"/>
                <w:color w:val="auto"/>
              </w:rPr>
              <w:t xml:space="preserve">Interest settlement on derivative </w:t>
            </w:r>
            <w:r>
              <w:rPr>
                <w:rFonts w:ascii="Times New Roman" w:cs="Times New Roman" w:eastAsia="Times New Roman" w:hAnsi="Times New Roman"/>
                <w:sz w:val="25"/>
                <w:szCs w:val="25"/>
                <w:color w:val="auto"/>
                <w:vertAlign w:val="superscript"/>
              </w:rPr>
              <w:t>(1)</w:t>
            </w:r>
          </w:p>
        </w:tc>
        <w:tc>
          <w:tcPr>
            <w:tcW w:w="9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2,378</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806</w:t>
            </w: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22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Total gains on hedged securities available for sale </w:t>
            </w:r>
            <w:r>
              <w:rPr>
                <w:rFonts w:ascii="Times New Roman" w:cs="Times New Roman" w:eastAsia="Times New Roman" w:hAnsi="Times New Roman"/>
                <w:sz w:val="25"/>
                <w:szCs w:val="25"/>
                <w:color w:val="auto"/>
                <w:vertAlign w:val="superscript"/>
              </w:rPr>
              <w:t>(3)</w:t>
            </w:r>
          </w:p>
        </w:tc>
        <w:tc>
          <w:tcPr>
            <w:tcW w:w="9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2,292</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991</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88"/>
        </w:trPr>
        <w:tc>
          <w:tcPr>
            <w:tcW w:w="5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275"/>
        </w:trPr>
        <w:tc>
          <w:tcPr>
            <w:tcW w:w="52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gains on fair value hedges</w:t>
            </w:r>
          </w:p>
        </w:tc>
        <w:tc>
          <w:tcPr>
            <w:tcW w:w="9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2,177</w:t>
            </w:r>
          </w:p>
        </w:tc>
        <w:tc>
          <w:tcPr>
            <w:tcW w:w="4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5,415</w:t>
            </w:r>
          </w:p>
        </w:tc>
        <w:tc>
          <w:tcPr>
            <w:tcW w:w="4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2,848</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accrued interest receivable and accrued interest payable.</w:t>
      </w:r>
    </w:p>
    <w:p>
      <w:pPr>
        <w:spacing w:after="0" w:line="60"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“Interest and fees on loans and leases held for investment” on the Income Statement.</w:t>
      </w:r>
    </w:p>
    <w:p>
      <w:pPr>
        <w:spacing w:after="0" w:line="48"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“Interest on securities available for sale” on the Income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cumulative basis adjustments for fair value hedges: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560" w:type="dxa"/>
            <w:vAlign w:val="bottom"/>
            <w:tcBorders>
              <w:top w:val="single" w:sz="8" w:color="auto"/>
            </w:tcBorders>
            <w:gridSpan w:val="4"/>
          </w:tcPr>
          <w:p>
            <w:pPr>
              <w:ind w:left="8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top w:val="single" w:sz="8" w:color="auto"/>
            </w:tcBorders>
          </w:tcPr>
          <w:p>
            <w:pPr>
              <w:spacing w:after="0"/>
              <w:rPr>
                <w:sz w:val="23"/>
                <w:szCs w:val="23"/>
                <w:color w:val="auto"/>
              </w:rPr>
            </w:pPr>
          </w:p>
        </w:tc>
        <w:tc>
          <w:tcPr>
            <w:tcW w:w="3480" w:type="dxa"/>
            <w:vAlign w:val="bottom"/>
            <w:tcBorders>
              <w:top w:val="single" w:sz="8" w:color="auto"/>
            </w:tcBorders>
            <w:gridSpan w:val="3"/>
          </w:tcPr>
          <w:p>
            <w:pPr>
              <w:ind w:left="8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Cumulative Fair Value</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20"/>
                <w:szCs w:val="20"/>
                <w:b w:val="1"/>
                <w:bCs w:val="1"/>
                <w:color w:val="auto"/>
                <w:w w:val="98"/>
              </w:rPr>
              <w:t>Cumulative Fair Value</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Carrying Amount</w:t>
            </w:r>
          </w:p>
        </w:tc>
        <w:tc>
          <w:tcPr>
            <w:tcW w:w="2160" w:type="dxa"/>
            <w:vAlign w:val="bottom"/>
            <w:gridSpan w:val="3"/>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9"/>
              </w:rPr>
              <w:t>Adjustment Included</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Carrying Amount</w:t>
            </w:r>
          </w:p>
        </w:tc>
        <w:tc>
          <w:tcPr>
            <w:tcW w:w="20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Adjustment Included</w:t>
            </w: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2"/>
          </w:tcPr>
          <w:p>
            <w:pPr>
              <w:jc w:val="center"/>
              <w:ind w:right="3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 the Carrying</w:t>
            </w:r>
          </w:p>
        </w:tc>
        <w:tc>
          <w:tcPr>
            <w:tcW w:w="1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center"/>
              <w:ind w:right="141"/>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 the Carrying</w:t>
            </w:r>
          </w:p>
        </w:tc>
        <w:tc>
          <w:tcPr>
            <w:tcW w:w="0" w:type="dxa"/>
            <w:vAlign w:val="bottom"/>
          </w:tcPr>
          <w:p>
            <w:pPr>
              <w:spacing w:after="0"/>
              <w:rPr>
                <w:sz w:val="1"/>
                <w:szCs w:val="1"/>
                <w:color w:val="auto"/>
              </w:rPr>
            </w:pPr>
          </w:p>
        </w:tc>
      </w:tr>
      <w:tr>
        <w:trPr>
          <w:trHeight w:val="189"/>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Balance Sheet Line Item</w:t>
            </w:r>
          </w:p>
        </w:tc>
        <w:tc>
          <w:tcPr>
            <w:tcW w:w="220" w:type="dxa"/>
            <w:vAlign w:val="bottom"/>
          </w:tcPr>
          <w:p>
            <w:pPr>
              <w:spacing w:after="0"/>
              <w:rPr>
                <w:sz w:val="16"/>
                <w:szCs w:val="16"/>
                <w:color w:val="auto"/>
              </w:rPr>
            </w:pPr>
          </w:p>
        </w:tc>
        <w:tc>
          <w:tcPr>
            <w:tcW w:w="1400" w:type="dxa"/>
            <w:vAlign w:val="bottom"/>
          </w:tcPr>
          <w:p>
            <w:pPr>
              <w:jc w:val="right"/>
              <w:ind w:right="321"/>
              <w:spacing w:after="0" w:line="189" w:lineRule="exact"/>
              <w:rPr>
                <w:sz w:val="20"/>
                <w:szCs w:val="20"/>
                <w:color w:val="auto"/>
              </w:rPr>
            </w:pPr>
            <w:r>
              <w:rPr>
                <w:rFonts w:ascii="Times New Roman" w:cs="Times New Roman" w:eastAsia="Times New Roman" w:hAnsi="Times New Roman"/>
                <w:sz w:val="20"/>
                <w:szCs w:val="20"/>
                <w:b w:val="1"/>
                <w:bCs w:val="1"/>
                <w:color w:val="auto"/>
              </w:rPr>
              <w:t>of Closed</w:t>
            </w:r>
          </w:p>
        </w:tc>
        <w:tc>
          <w:tcPr>
            <w:tcW w:w="2160" w:type="dxa"/>
            <w:vAlign w:val="bottom"/>
            <w:gridSpan w:val="3"/>
          </w:tcPr>
          <w:p>
            <w:pPr>
              <w:jc w:val="center"/>
              <w:ind w:right="40"/>
              <w:spacing w:after="0" w:line="189" w:lineRule="exact"/>
              <w:rPr>
                <w:sz w:val="20"/>
                <w:szCs w:val="20"/>
                <w:color w:val="auto"/>
              </w:rPr>
            </w:pPr>
            <w:r>
              <w:rPr>
                <w:rFonts w:ascii="Times New Roman" w:cs="Times New Roman" w:eastAsia="Times New Roman" w:hAnsi="Times New Roman"/>
                <w:sz w:val="20"/>
                <w:szCs w:val="20"/>
                <w:b w:val="1"/>
                <w:bCs w:val="1"/>
                <w:color w:val="auto"/>
                <w:w w:val="99"/>
              </w:rPr>
              <w:t>Amount of the Hedged</w:t>
            </w:r>
          </w:p>
        </w:tc>
        <w:tc>
          <w:tcPr>
            <w:tcW w:w="220" w:type="dxa"/>
            <w:vAlign w:val="bottom"/>
          </w:tcPr>
          <w:p>
            <w:pPr>
              <w:spacing w:after="0"/>
              <w:rPr>
                <w:sz w:val="16"/>
                <w:szCs w:val="16"/>
                <w:color w:val="auto"/>
              </w:rPr>
            </w:pPr>
          </w:p>
        </w:tc>
        <w:tc>
          <w:tcPr>
            <w:tcW w:w="1400" w:type="dxa"/>
            <w:vAlign w:val="bottom"/>
          </w:tcPr>
          <w:p>
            <w:pPr>
              <w:jc w:val="right"/>
              <w:ind w:right="321"/>
              <w:spacing w:after="0" w:line="189" w:lineRule="exact"/>
              <w:rPr>
                <w:sz w:val="20"/>
                <w:szCs w:val="20"/>
                <w:color w:val="auto"/>
              </w:rPr>
            </w:pPr>
            <w:r>
              <w:rPr>
                <w:rFonts w:ascii="Times New Roman" w:cs="Times New Roman" w:eastAsia="Times New Roman" w:hAnsi="Times New Roman"/>
                <w:sz w:val="20"/>
                <w:szCs w:val="20"/>
                <w:b w:val="1"/>
                <w:bCs w:val="1"/>
                <w:color w:val="auto"/>
              </w:rPr>
              <w:t>of Closed</w:t>
            </w:r>
          </w:p>
        </w:tc>
        <w:tc>
          <w:tcPr>
            <w:tcW w:w="2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9"/>
              </w:rPr>
              <w:t>Amount of the Hedged</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41"/>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Portfolio </w:t>
            </w:r>
            <w:r>
              <w:rPr>
                <w:rFonts w:ascii="Times New Roman" w:cs="Times New Roman" w:eastAsia="Times New Roman" w:hAnsi="Times New Roman"/>
                <w:sz w:val="25"/>
                <w:szCs w:val="25"/>
                <w:b w:val="1"/>
                <w:bCs w:val="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6"/>
              </w:rPr>
              <w:t>Items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41"/>
              <w:spacing w:after="0" w:line="256" w:lineRule="exact"/>
              <w:rPr>
                <w:sz w:val="20"/>
                <w:szCs w:val="20"/>
                <w:color w:val="auto"/>
              </w:rPr>
            </w:pPr>
            <w:r>
              <w:rPr>
                <w:rFonts w:ascii="Times New Roman" w:cs="Times New Roman" w:eastAsia="Times New Roman" w:hAnsi="Times New Roman"/>
                <w:sz w:val="20"/>
                <w:szCs w:val="20"/>
                <w:b w:val="1"/>
                <w:bCs w:val="1"/>
                <w:color w:val="auto"/>
              </w:rPr>
              <w:t xml:space="preserve">Portfolio </w:t>
            </w:r>
            <w:r>
              <w:rPr>
                <w:rFonts w:ascii="Times New Roman" w:cs="Times New Roman" w:eastAsia="Times New Roman" w:hAnsi="Times New Roman"/>
                <w:sz w:val="25"/>
                <w:szCs w:val="25"/>
                <w:b w:val="1"/>
                <w:bCs w:val="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6"/>
              </w:rPr>
              <w:t>Items</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Loans and leases held for investment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1,283,622</w:t>
            </w:r>
          </w:p>
        </w:tc>
        <w:tc>
          <w:tcPr>
            <w:tcW w:w="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1,388,222</w:t>
            </w:r>
          </w:p>
        </w:tc>
        <w:tc>
          <w:tcPr>
            <w:tcW w:w="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1,872</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1,091,921</w:t>
            </w:r>
          </w:p>
        </w:tc>
        <w:tc>
          <w:tcPr>
            <w:tcW w:w="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2,255,848</w:t>
            </w:r>
          </w:p>
        </w:tc>
        <w:tc>
          <w:tcPr>
            <w:tcW w:w="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340" w:right="60" w:hanging="332"/>
        <w:spacing w:after="0" w:line="242" w:lineRule="auto"/>
        <w:tabs>
          <w:tab w:leader="none" w:pos="294"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the total closed portfolio of assets (at amortized cost) designated in a portfolio method hedge relationship in which the hedged item is a stated layer that is expected to be remaining at the end of the hedging relationship. At December 31, 2025, the amortized cost of unsecured personal loans and AFS securities, designated as the hedged items in the portfolio layer hedging relationship, was</w:t>
      </w:r>
    </w:p>
    <w:p>
      <w:pPr>
        <w:ind w:left="340" w:right="60"/>
        <w:spacing w:after="0" w:line="27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$575.0 million and $475.0 million, respectively. At December 31, 2024, the amortized cost of unsecured personal loans and AFS securities, designated as the hedged items in the portfolio layer hedging relationship, was $1.075 billion and $225.0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Property, Equipment and Software, Net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equipment and software, net, consist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52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60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Software </w:t>
            </w:r>
            <w:r>
              <w:rPr>
                <w:rFonts w:ascii="Times New Roman" w:cs="Times New Roman" w:eastAsia="Times New Roman" w:hAnsi="Times New Roman"/>
                <w:sz w:val="25"/>
                <w:szCs w:val="25"/>
                <w:color w:val="auto"/>
                <w:vertAlign w:val="superscript"/>
              </w:rPr>
              <w:t>(1)</w:t>
            </w:r>
          </w:p>
        </w:tc>
        <w:tc>
          <w:tcPr>
            <w:tcW w:w="25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259,773</w:t>
            </w:r>
          </w:p>
        </w:tc>
        <w:tc>
          <w:tcPr>
            <w:tcW w:w="3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222,000</w:t>
            </w:r>
          </w:p>
        </w:tc>
      </w:tr>
      <w:tr>
        <w:trPr>
          <w:trHeight w:val="257"/>
        </w:trPr>
        <w:tc>
          <w:tcPr>
            <w:tcW w:w="604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Land, building and building improvements </w:t>
            </w:r>
            <w:r>
              <w:rPr>
                <w:rFonts w:ascii="Times New Roman" w:cs="Times New Roman" w:eastAsia="Times New Roman" w:hAnsi="Times New Roman"/>
                <w:sz w:val="25"/>
                <w:szCs w:val="25"/>
                <w:color w:val="auto"/>
                <w:vertAlign w:val="superscript"/>
              </w:rPr>
              <w:t>(2) (3)</w:t>
            </w:r>
          </w:p>
        </w:tc>
        <w:tc>
          <w:tcPr>
            <w:tcW w:w="252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81,601</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Leasehold improvements</w:t>
            </w:r>
          </w:p>
        </w:tc>
        <w:tc>
          <w:tcPr>
            <w:tcW w:w="25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30,686</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30,699</w:t>
            </w:r>
          </w:p>
        </w:tc>
      </w:tr>
      <w:tr>
        <w:trPr>
          <w:trHeight w:val="256"/>
        </w:trPr>
        <w:tc>
          <w:tcPr>
            <w:tcW w:w="604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Computer equipment </w:t>
            </w:r>
            <w:r>
              <w:rPr>
                <w:rFonts w:ascii="Times New Roman" w:cs="Times New Roman" w:eastAsia="Times New Roman" w:hAnsi="Times New Roman"/>
                <w:sz w:val="25"/>
                <w:szCs w:val="25"/>
                <w:color w:val="auto"/>
                <w:vertAlign w:val="superscript"/>
              </w:rPr>
              <w:t>(4)</w:t>
            </w:r>
          </w:p>
        </w:tc>
        <w:tc>
          <w:tcPr>
            <w:tcW w:w="252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5,829</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22,216</w:t>
            </w:r>
          </w:p>
        </w:tc>
      </w:tr>
      <w:tr>
        <w:trPr>
          <w:trHeight w:val="257"/>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Furniture and fixtures</w:t>
            </w:r>
          </w:p>
        </w:tc>
        <w:tc>
          <w:tcPr>
            <w:tcW w:w="25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5,554</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5,554</w:t>
            </w:r>
          </w:p>
        </w:tc>
      </w:tr>
      <w:tr>
        <w:trPr>
          <w:trHeight w:val="250"/>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Total property, equipment and software</w:t>
            </w:r>
          </w:p>
        </w:tc>
        <w:tc>
          <w:tcPr>
            <w:tcW w:w="2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383,443</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280,469</w:t>
            </w:r>
          </w:p>
        </w:tc>
      </w:tr>
      <w:tr>
        <w:trPr>
          <w:trHeight w:val="25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Accumulated depreciation and amortization</w:t>
            </w:r>
          </w:p>
        </w:tc>
        <w:tc>
          <w:tcPr>
            <w:tcW w:w="2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(129,355)</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(112,937)</w:t>
            </w:r>
          </w:p>
        </w:tc>
      </w:tr>
      <w:tr>
        <w:trPr>
          <w:trHeight w:val="250"/>
        </w:trPr>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property, equipment and software, net</w:t>
            </w:r>
          </w:p>
        </w:tc>
        <w:tc>
          <w:tcPr>
            <w:tcW w:w="25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254,088</w:t>
            </w:r>
          </w:p>
        </w:tc>
        <w:tc>
          <w:tcPr>
            <w:tcW w:w="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167,532</w:t>
            </w: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21" w:lineRule="auto"/>
        <w:tabs>
          <w:tab w:leader="none" w:pos="364"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$28.3 million and $43.4 million of development in progress for internally-developed software and $6.8 million and $7.1 million of development in progress to customize purchased software as of December 31, 2025 and 2024, respectively.</w:t>
      </w:r>
    </w:p>
    <w:p>
      <w:pPr>
        <w:spacing w:after="0" w:line="39" w:lineRule="exact"/>
        <w:rPr>
          <w:rFonts w:ascii="Times New Roman" w:cs="Times New Roman" w:eastAsia="Times New Roman" w:hAnsi="Times New Roman"/>
          <w:sz w:val="26"/>
          <w:szCs w:val="26"/>
          <w:color w:val="auto"/>
          <w:vertAlign w:val="superscript"/>
        </w:rPr>
      </w:pPr>
    </w:p>
    <w:p>
      <w:pPr>
        <w:ind w:left="340" w:right="480" w:hanging="332"/>
        <w:spacing w:after="0" w:line="227" w:lineRule="auto"/>
        <w:tabs>
          <w:tab w:leader="none" w:pos="364"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In April 2025, the Company acquired an office building which will be used as the Company’s headquarters beginning in the second quarter of 2026. See </w:t>
      </w:r>
      <w:r>
        <w:rPr>
          <w:rFonts w:ascii="Times New Roman" w:cs="Times New Roman" w:eastAsia="Times New Roman" w:hAnsi="Times New Roman"/>
          <w:sz w:val="20"/>
          <w:szCs w:val="20"/>
          <w:i w:val="1"/>
          <w:iCs w:val="1"/>
          <w:color w:val="auto"/>
        </w:rPr>
        <w:t>“Note 17. Leases”</w:t>
      </w:r>
      <w:r>
        <w:rPr>
          <w:rFonts w:ascii="Times New Roman" w:cs="Times New Roman" w:eastAsia="Times New Roman" w:hAnsi="Times New Roman"/>
          <w:sz w:val="20"/>
          <w:szCs w:val="20"/>
          <w:color w:val="auto"/>
        </w:rPr>
        <w:t xml:space="preserve"> for additional information.</w:t>
      </w:r>
    </w:p>
    <w:p>
      <w:pPr>
        <w:spacing w:after="0" w:line="1" w:lineRule="exact"/>
        <w:rPr>
          <w:rFonts w:ascii="Times New Roman" w:cs="Times New Roman" w:eastAsia="Times New Roman" w:hAnsi="Times New Roman"/>
          <w:sz w:val="26"/>
          <w:szCs w:val="26"/>
          <w:color w:val="auto"/>
          <w:vertAlign w:val="superscript"/>
        </w:rPr>
      </w:pPr>
    </w:p>
    <w:p>
      <w:pPr>
        <w:ind w:left="360" w:hanging="352"/>
        <w:spacing w:after="0" w:line="227" w:lineRule="auto"/>
        <w:tabs>
          <w:tab w:leader="none" w:pos="360"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$7.7 million of building improvements in progress as of December 31, 2025.</w:t>
      </w:r>
    </w:p>
    <w:p>
      <w:pPr>
        <w:spacing w:after="0" w:line="61" w:lineRule="exact"/>
        <w:rPr>
          <w:rFonts w:ascii="Times New Roman" w:cs="Times New Roman" w:eastAsia="Times New Roman" w:hAnsi="Times New Roman"/>
          <w:sz w:val="26"/>
          <w:szCs w:val="26"/>
          <w:color w:val="auto"/>
          <w:vertAlign w:val="superscript"/>
        </w:rPr>
      </w:pPr>
    </w:p>
    <w:p>
      <w:pPr>
        <w:ind w:left="340" w:right="40" w:hanging="332"/>
        <w:spacing w:after="0" w:line="211" w:lineRule="auto"/>
        <w:tabs>
          <w:tab w:leader="none" w:pos="364"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During the first quarter of 2025, the Company retired $16.8 million of fully depreciated computer equipment as part of its migration onto a cloud-based hosting platform.</w:t>
      </w:r>
    </w:p>
    <w:p>
      <w:pPr>
        <w:spacing w:after="0" w:line="228"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Depreciation and amortization expense on property, equipment and software was $59.7 million, $49.8 million and $43.0 million for the years ended December 31, 2025, 2024 and 2023, respectively.</w:t>
      </w:r>
    </w:p>
    <w:p>
      <w:pPr>
        <w:spacing w:after="0" w:line="17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The Company recognized impairment expense of $5.5 million on its internally-developed software for the year ended December 31, 2024. This was recorded within “Depreciation and amortization” expense on the Income Statement. No impairment expense was recorded for the years ended December 31, 2025 and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4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The Company’s goodwill balance was $75.7 million as of both December 31, 2025 and 2024. The Company did not record any goodwill impairment expense during the years ended December 31, 2025, 2024 and 2023. Goodwill is not amortized, but is subject to annual impairment tests that are performed in the fourth quarter of each calendar year. For additional detail, see “</w:t>
      </w:r>
      <w:r>
        <w:rPr>
          <w:rFonts w:ascii="Times New Roman" w:cs="Times New Roman" w:eastAsia="Times New Roman" w:hAnsi="Times New Roman"/>
          <w:sz w:val="20"/>
          <w:szCs w:val="20"/>
          <w:i w:val="1"/>
          <w:iCs w:val="1"/>
          <w:color w:val="auto"/>
        </w:rPr>
        <w:t>Note 1. 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47"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Intangible assets consist primarily of customer relationships. These intangible assets are amortized on an accelerated basis from ten to fourteen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Intangible assets, net of accumulated amortization, are included in “Other assets” on the Balance Sheet. The gross and net carrying values and accumulated amortization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14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6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Gross carrying value</w:t>
            </w:r>
          </w:p>
        </w:tc>
        <w:tc>
          <w:tcPr>
            <w:tcW w:w="31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56,490</w:t>
            </w:r>
          </w:p>
        </w:tc>
        <w:tc>
          <w:tcPr>
            <w:tcW w:w="4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54,500</w:t>
            </w:r>
          </w:p>
        </w:tc>
      </w:tr>
      <w:tr>
        <w:trPr>
          <w:trHeight w:val="256"/>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Accumulated amortization</w:t>
            </w:r>
          </w:p>
        </w:tc>
        <w:tc>
          <w:tcPr>
            <w:tcW w:w="3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(49,071)</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(45,914)</w:t>
            </w:r>
          </w:p>
        </w:tc>
      </w:tr>
      <w:tr>
        <w:trPr>
          <w:trHeight w:val="275"/>
        </w:trPr>
        <w:tc>
          <w:tcPr>
            <w:tcW w:w="4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carrying value</w:t>
            </w:r>
          </w:p>
        </w:tc>
        <w:tc>
          <w:tcPr>
            <w:tcW w:w="31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7,419</w:t>
            </w:r>
          </w:p>
        </w:tc>
        <w:tc>
          <w:tcPr>
            <w:tcW w:w="4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8,586</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900"/>
        <w:spacing w:after="0" w:line="295" w:lineRule="auto"/>
        <w:rPr>
          <w:sz w:val="20"/>
          <w:szCs w:val="20"/>
          <w:color w:val="auto"/>
        </w:rPr>
      </w:pPr>
      <w:r>
        <w:rPr>
          <w:rFonts w:ascii="Times New Roman" w:cs="Times New Roman" w:eastAsia="Times New Roman" w:hAnsi="Times New Roman"/>
          <w:sz w:val="19"/>
          <w:szCs w:val="19"/>
          <w:color w:val="auto"/>
        </w:rPr>
        <w:t>Amortization expense associated with intangible assets for the years ended December 31, 2025, 2024 and 2023 was $3.2 million, $3.5 million and $4.2 million, respectively. There was no impairment loss for the years ended December 31, 2025,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expected future amortization expense for intangible assets as of December 31, 2025,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29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2,636</w:t>
            </w:r>
          </w:p>
        </w:tc>
        <w:tc>
          <w:tcPr>
            <w:tcW w:w="20" w:type="dxa"/>
            <w:vAlign w:val="bottom"/>
            <w:tcBorders>
              <w:top w:val="single" w:sz="8" w:color="auto"/>
            </w:tcBorders>
            <w:shd w:val="clear" w:color="auto" w:fill="CCEEFF"/>
          </w:tcPr>
          <w:p>
            <w:pPr>
              <w:spacing w:after="0"/>
              <w:rPr>
                <w:sz w:val="23"/>
                <w:szCs w:val="23"/>
                <w:color w:val="auto"/>
              </w:rPr>
            </w:pPr>
          </w:p>
        </w:tc>
      </w:tr>
      <w:tr>
        <w:trPr>
          <w:trHeight w:val="257"/>
        </w:trPr>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2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w:t>
            </w:r>
          </w:p>
        </w:tc>
        <w:tc>
          <w:tcPr>
            <w:tcW w:w="20" w:type="dxa"/>
            <w:vAlign w:val="bottom"/>
          </w:tcPr>
          <w:p>
            <w:pPr>
              <w:spacing w:after="0"/>
              <w:rPr>
                <w:sz w:val="22"/>
                <w:szCs w:val="22"/>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2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20" w:type="dxa"/>
            <w:vAlign w:val="bottom"/>
            <w:shd w:val="clear" w:color="auto" w:fill="CCEEFF"/>
          </w:tcPr>
          <w:p>
            <w:pPr>
              <w:spacing w:after="0"/>
              <w:rPr>
                <w:sz w:val="22"/>
                <w:szCs w:val="22"/>
                <w:color w:val="auto"/>
              </w:rPr>
            </w:pPr>
          </w:p>
        </w:tc>
      </w:tr>
      <w:tr>
        <w:trPr>
          <w:trHeight w:val="257"/>
        </w:trPr>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2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20" w:type="dxa"/>
            <w:vAlign w:val="bottom"/>
          </w:tcPr>
          <w:p>
            <w:pPr>
              <w:spacing w:after="0"/>
              <w:rPr>
                <w:sz w:val="22"/>
                <w:szCs w:val="22"/>
                <w:color w:val="auto"/>
              </w:rPr>
            </w:pPr>
          </w:p>
        </w:tc>
      </w:tr>
      <w:tr>
        <w:trPr>
          <w:trHeight w:val="25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2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0" w:type="dxa"/>
            <w:vAlign w:val="bottom"/>
            <w:shd w:val="clear" w:color="auto" w:fill="CCEEFF"/>
          </w:tcPr>
          <w:p>
            <w:pPr>
              <w:spacing w:after="0"/>
              <w:rPr>
                <w:sz w:val="22"/>
                <w:szCs w:val="22"/>
                <w:color w:val="auto"/>
              </w:rPr>
            </w:pPr>
          </w:p>
        </w:tc>
      </w:tr>
      <w:tr>
        <w:trPr>
          <w:trHeight w:val="25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29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20" w:type="dxa"/>
            <w:vAlign w:val="bottom"/>
            <w:tcBorders>
              <w:bottom w:val="single" w:sz="8" w:color="auto"/>
            </w:tcBorders>
          </w:tcPr>
          <w:p>
            <w:pPr>
              <w:spacing w:after="0"/>
              <w:rPr>
                <w:sz w:val="22"/>
                <w:szCs w:val="22"/>
                <w:color w:val="auto"/>
              </w:rPr>
            </w:pPr>
          </w:p>
        </w:tc>
      </w:tr>
      <w:tr>
        <w:trPr>
          <w:trHeight w:val="275"/>
        </w:trPr>
        <w:tc>
          <w:tcPr>
            <w:tcW w:w="5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w:t>
            </w:r>
          </w:p>
        </w:tc>
        <w:tc>
          <w:tcPr>
            <w:tcW w:w="29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20" w:type="dxa"/>
            <w:vAlign w:val="bottom"/>
            <w:tcBorders>
              <w:bottom w:val="single" w:sz="8" w:color="auto"/>
            </w:tcBorders>
            <w:shd w:val="clear" w:color="auto" w:fill="CCEEFF"/>
          </w:tcPr>
          <w:p>
            <w:pPr>
              <w:spacing w:after="0"/>
              <w:rPr>
                <w:sz w:val="23"/>
                <w:szCs w:val="23"/>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 Other Assets</w:t>
            </w:r>
          </w:p>
        </w:tc>
        <w:tc>
          <w:tcPr>
            <w:tcW w:w="2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 consist of the following:</w:t>
            </w:r>
          </w:p>
        </w:tc>
        <w:tc>
          <w:tcPr>
            <w:tcW w:w="2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560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r>
      <w:tr>
        <w:trPr>
          <w:trHeight w:val="250"/>
        </w:trPr>
        <w:tc>
          <w:tcPr>
            <w:tcW w:w="56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Deferred tax assets, net </w:t>
            </w:r>
            <w:r>
              <w:rPr>
                <w:rFonts w:ascii="Times New Roman" w:cs="Times New Roman" w:eastAsia="Times New Roman" w:hAnsi="Times New Roman"/>
                <w:sz w:val="25"/>
                <w:szCs w:val="25"/>
                <w:color w:val="auto"/>
                <w:vertAlign w:val="superscript"/>
              </w:rPr>
              <w:t>(1)</w:t>
            </w:r>
          </w:p>
        </w:tc>
        <w:tc>
          <w:tcPr>
            <w:tcW w:w="2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96,159</w:t>
            </w:r>
          </w:p>
        </w:tc>
        <w:tc>
          <w:tcPr>
            <w:tcW w:w="4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137,155</w:t>
            </w:r>
          </w:p>
        </w:tc>
        <w:tc>
          <w:tcPr>
            <w:tcW w:w="20" w:type="dxa"/>
            <w:vAlign w:val="bottom"/>
          </w:tcPr>
          <w:p>
            <w:pPr>
              <w:spacing w:after="0"/>
              <w:rPr>
                <w:sz w:val="21"/>
                <w:szCs w:val="21"/>
                <w:color w:val="auto"/>
              </w:rPr>
            </w:pPr>
          </w:p>
        </w:tc>
      </w:tr>
      <w:tr>
        <w:trPr>
          <w:trHeight w:val="257"/>
        </w:trPr>
        <w:tc>
          <w:tcPr>
            <w:tcW w:w="56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Servicing assets </w:t>
            </w:r>
            <w:r>
              <w:rPr>
                <w:rFonts w:ascii="Times New Roman" w:cs="Times New Roman" w:eastAsia="Times New Roman" w:hAnsi="Times New Roman"/>
                <w:sz w:val="25"/>
                <w:szCs w:val="25"/>
                <w:color w:val="auto"/>
                <w:vertAlign w:val="superscript"/>
              </w:rPr>
              <w:t>(2)</w:t>
            </w:r>
          </w:p>
        </w:tc>
        <w:tc>
          <w:tcPr>
            <w:tcW w:w="29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65,326</w:t>
            </w: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61,020</w:t>
            </w:r>
          </w:p>
        </w:tc>
        <w:tc>
          <w:tcPr>
            <w:tcW w:w="20" w:type="dxa"/>
            <w:vAlign w:val="bottom"/>
          </w:tcPr>
          <w:p>
            <w:pPr>
              <w:spacing w:after="0"/>
              <w:rPr>
                <w:sz w:val="22"/>
                <w:szCs w:val="22"/>
                <w:color w:val="auto"/>
              </w:rPr>
            </w:pPr>
          </w:p>
        </w:tc>
      </w:tr>
      <w:tr>
        <w:trPr>
          <w:trHeight w:val="25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Nonmarketable equity investments</w:t>
            </w:r>
          </w:p>
        </w:tc>
        <w:tc>
          <w:tcPr>
            <w:tcW w:w="29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48,462</w:t>
            </w: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44,114</w:t>
            </w:r>
          </w:p>
        </w:tc>
        <w:tc>
          <w:tcPr>
            <w:tcW w:w="20" w:type="dxa"/>
            <w:vAlign w:val="bottom"/>
          </w:tcPr>
          <w:p>
            <w:pPr>
              <w:spacing w:after="0"/>
              <w:rPr>
                <w:sz w:val="22"/>
                <w:szCs w:val="22"/>
                <w:color w:val="auto"/>
              </w:rPr>
            </w:pPr>
          </w:p>
        </w:tc>
      </w:tr>
      <w:tr>
        <w:trPr>
          <w:trHeight w:val="257"/>
        </w:trPr>
        <w:tc>
          <w:tcPr>
            <w:tcW w:w="5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Accrued interest receivable</w:t>
            </w:r>
          </w:p>
        </w:tc>
        <w:tc>
          <w:tcPr>
            <w:tcW w:w="29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43,918</w:t>
            </w: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40,388</w:t>
            </w:r>
          </w:p>
        </w:tc>
        <w:tc>
          <w:tcPr>
            <w:tcW w:w="20" w:type="dxa"/>
            <w:vAlign w:val="bottom"/>
          </w:tcPr>
          <w:p>
            <w:pPr>
              <w:spacing w:after="0"/>
              <w:rPr>
                <w:sz w:val="22"/>
                <w:szCs w:val="22"/>
                <w:color w:val="auto"/>
              </w:rPr>
            </w:pPr>
          </w:p>
        </w:tc>
      </w:tr>
      <w:tr>
        <w:trPr>
          <w:trHeight w:val="25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assets</w:t>
            </w:r>
          </w:p>
        </w:tc>
        <w:tc>
          <w:tcPr>
            <w:tcW w:w="29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12,942</w:t>
            </w: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21,304</w:t>
            </w:r>
          </w:p>
        </w:tc>
        <w:tc>
          <w:tcPr>
            <w:tcW w:w="20" w:type="dxa"/>
            <w:vAlign w:val="bottom"/>
          </w:tcPr>
          <w:p>
            <w:pPr>
              <w:spacing w:after="0"/>
              <w:rPr>
                <w:sz w:val="22"/>
                <w:szCs w:val="22"/>
                <w:color w:val="auto"/>
              </w:rPr>
            </w:pPr>
          </w:p>
        </w:tc>
      </w:tr>
      <w:tr>
        <w:trPr>
          <w:trHeight w:val="257"/>
        </w:trPr>
        <w:tc>
          <w:tcPr>
            <w:tcW w:w="56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Intangible assets, net </w:t>
            </w:r>
            <w:r>
              <w:rPr>
                <w:rFonts w:ascii="Times New Roman" w:cs="Times New Roman" w:eastAsia="Times New Roman" w:hAnsi="Times New Roman"/>
                <w:sz w:val="25"/>
                <w:szCs w:val="25"/>
                <w:color w:val="auto"/>
                <w:vertAlign w:val="superscript"/>
              </w:rPr>
              <w:t>(3)</w:t>
            </w:r>
          </w:p>
        </w:tc>
        <w:tc>
          <w:tcPr>
            <w:tcW w:w="29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7,419</w:t>
            </w: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8,586</w:t>
            </w:r>
          </w:p>
        </w:tc>
        <w:tc>
          <w:tcPr>
            <w:tcW w:w="20" w:type="dxa"/>
            <w:vAlign w:val="bottom"/>
          </w:tcPr>
          <w:p>
            <w:pPr>
              <w:spacing w:after="0"/>
              <w:rPr>
                <w:sz w:val="22"/>
                <w:szCs w:val="22"/>
                <w:color w:val="auto"/>
              </w:rPr>
            </w:pPr>
          </w:p>
        </w:tc>
      </w:tr>
      <w:tr>
        <w:trPr>
          <w:trHeight w:val="256"/>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9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93,860</w:t>
            </w: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91,415</w:t>
            </w:r>
          </w:p>
        </w:tc>
        <w:tc>
          <w:tcPr>
            <w:tcW w:w="20" w:type="dxa"/>
            <w:vAlign w:val="bottom"/>
          </w:tcPr>
          <w:p>
            <w:pPr>
              <w:spacing w:after="0"/>
              <w:rPr>
                <w:sz w:val="22"/>
                <w:szCs w:val="22"/>
                <w:color w:val="auto"/>
              </w:rPr>
            </w:pPr>
          </w:p>
        </w:tc>
      </w:tr>
      <w:tr>
        <w:trPr>
          <w:trHeight w:val="250"/>
        </w:trPr>
        <w:tc>
          <w:tcPr>
            <w:tcW w:w="5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other assets</w:t>
            </w:r>
          </w:p>
        </w:tc>
        <w:tc>
          <w:tcPr>
            <w:tcW w:w="29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368,086</w:t>
            </w:r>
          </w:p>
        </w:tc>
        <w:tc>
          <w:tcPr>
            <w:tcW w:w="4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403,982</w:t>
            </w:r>
          </w:p>
        </w:tc>
        <w:tc>
          <w:tcPr>
            <w:tcW w:w="20" w:type="dxa"/>
            <w:vAlign w:val="bottom"/>
          </w:tcPr>
          <w:p>
            <w:pPr>
              <w:spacing w:after="0"/>
              <w:rPr>
                <w:sz w:val="21"/>
                <w:szCs w:val="2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Note 16. Income Taxes</w:t>
      </w:r>
      <w:r>
        <w:rPr>
          <w:rFonts w:ascii="Times New Roman" w:cs="Times New Roman" w:eastAsia="Times New Roman" w:hAnsi="Times New Roman"/>
          <w:sz w:val="20"/>
          <w:szCs w:val="20"/>
          <w:color w:val="auto"/>
        </w:rPr>
        <w:t>” for additional detail.</w:t>
      </w:r>
    </w:p>
    <w:p>
      <w:pPr>
        <w:spacing w:after="0" w:line="60" w:lineRule="exact"/>
        <w:rPr>
          <w:rFonts w:ascii="Times New Roman" w:cs="Times New Roman" w:eastAsia="Times New Roman" w:hAnsi="Times New Roman"/>
          <w:sz w:val="26"/>
          <w:szCs w:val="26"/>
          <w:color w:val="auto"/>
          <w:vertAlign w:val="superscript"/>
        </w:rPr>
      </w:pPr>
    </w:p>
    <w:p>
      <w:pPr>
        <w:ind w:left="340" w:right="160" w:hanging="332"/>
        <w:spacing w:after="0" w:line="211" w:lineRule="auto"/>
        <w:tabs>
          <w:tab w:leader="none" w:pos="326"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Loans underlying servicing assets had a total outstanding principal balance of $7.6 billion and $7.3 billion as of December 31, 2025 and 2024, respectively.</w:t>
      </w:r>
    </w:p>
    <w:p>
      <w:pPr>
        <w:ind w:left="280" w:hanging="272"/>
        <w:spacing w:after="0" w:line="238" w:lineRule="auto"/>
        <w:tabs>
          <w:tab w:leader="none" w:pos="280" w:val="left"/>
        </w:tabs>
        <w:numPr>
          <w:ilvl w:val="0"/>
          <w:numId w:val="8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Note 10. Goodwill and Intangible Assets</w:t>
      </w:r>
      <w:r>
        <w:rPr>
          <w:rFonts w:ascii="Times New Roman" w:cs="Times New Roman" w:eastAsia="Times New Roman" w:hAnsi="Times New Roman"/>
          <w:sz w:val="20"/>
          <w:szCs w:val="20"/>
          <w:color w:val="auto"/>
        </w:rPr>
        <w:t>”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Deposits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consist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6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2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Interest-bearing deposits:</w:t>
            </w:r>
          </w:p>
        </w:tc>
        <w:tc>
          <w:tcPr>
            <w:tcW w:w="8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7"/>
        </w:trPr>
        <w:tc>
          <w:tcPr>
            <w:tcW w:w="7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Savings and money market accounts</w:t>
            </w:r>
          </w:p>
        </w:tc>
        <w:tc>
          <w:tcPr>
            <w:tcW w:w="8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6,599,737</w:t>
            </w:r>
          </w:p>
        </w:tc>
        <w:tc>
          <w:tcPr>
            <w:tcW w:w="6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5,903,869</w:t>
            </w:r>
          </w:p>
        </w:tc>
      </w:tr>
      <w:tr>
        <w:trPr>
          <w:trHeight w:val="25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Certificates of deposit</w:t>
            </w:r>
          </w:p>
        </w:tc>
        <w:tc>
          <w:tcPr>
            <w:tcW w:w="8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2,434,422</w:t>
            </w:r>
          </w:p>
        </w:tc>
        <w:tc>
          <w:tcPr>
            <w:tcW w:w="6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2,294,214</w:t>
            </w:r>
          </w:p>
        </w:tc>
      </w:tr>
      <w:tr>
        <w:trPr>
          <w:trHeight w:val="257"/>
        </w:trPr>
        <w:tc>
          <w:tcPr>
            <w:tcW w:w="7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Checking accounts</w:t>
            </w:r>
          </w:p>
        </w:tc>
        <w:tc>
          <w:tcPr>
            <w:tcW w:w="8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425,324</w:t>
            </w: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478,036</w:t>
            </w:r>
          </w:p>
        </w:tc>
      </w:tr>
      <w:tr>
        <w:trPr>
          <w:trHeight w:val="250"/>
        </w:trPr>
        <w:tc>
          <w:tcPr>
            <w:tcW w:w="7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8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9,459,483</w:t>
            </w: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8,676,119</w:t>
            </w:r>
          </w:p>
        </w:tc>
      </w:tr>
      <w:tr>
        <w:trPr>
          <w:trHeight w:val="25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Noninterest-bearing deposits</w:t>
            </w: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374,387</w:t>
            </w: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392,118</w:t>
            </w:r>
          </w:p>
        </w:tc>
      </w:tr>
      <w:tr>
        <w:trPr>
          <w:trHeight w:val="275"/>
        </w:trPr>
        <w:tc>
          <w:tcPr>
            <w:tcW w:w="7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deposits</w:t>
            </w:r>
          </w:p>
        </w:tc>
        <w:tc>
          <w:tcPr>
            <w:tcW w:w="8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9,833,870</w:t>
            </w:r>
          </w:p>
        </w:tc>
        <w:tc>
          <w:tcPr>
            <w:tcW w:w="6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9,068,237</w:t>
            </w:r>
          </w:p>
        </w:tc>
      </w:tr>
      <w:tr>
        <w:trPr>
          <w:trHeight w:val="20"/>
        </w:trPr>
        <w:tc>
          <w:tcPr>
            <w:tcW w:w="7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47"/>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Total certificates of deposit at December 31, 2025 are scheduled to mature as follows:</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
        </w:trPr>
        <w:tc>
          <w:tcPr>
            <w:tcW w:w="7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8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2,389,994</w:t>
            </w:r>
          </w:p>
        </w:tc>
      </w:tr>
      <w:tr>
        <w:trPr>
          <w:trHeight w:val="257"/>
        </w:trPr>
        <w:tc>
          <w:tcPr>
            <w:tcW w:w="7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29,895</w:t>
            </w:r>
          </w:p>
        </w:tc>
      </w:tr>
      <w:tr>
        <w:trPr>
          <w:trHeight w:val="25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8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2,953</w:t>
            </w:r>
          </w:p>
        </w:tc>
      </w:tr>
      <w:tr>
        <w:trPr>
          <w:trHeight w:val="257"/>
        </w:trPr>
        <w:tc>
          <w:tcPr>
            <w:tcW w:w="7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10,341</w:t>
            </w:r>
          </w:p>
        </w:tc>
      </w:tr>
      <w:tr>
        <w:trPr>
          <w:trHeight w:val="257"/>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8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1,239</w:t>
            </w:r>
          </w:p>
        </w:tc>
      </w:tr>
      <w:tr>
        <w:trPr>
          <w:trHeight w:val="250"/>
        </w:trPr>
        <w:tc>
          <w:tcPr>
            <w:tcW w:w="7340" w:type="dxa"/>
            <w:vAlign w:val="bottom"/>
            <w:tcBorders>
              <w:bottom w:val="single" w:sz="8" w:color="auto"/>
            </w:tcBorders>
          </w:tcPr>
          <w:p>
            <w:pPr>
              <w:ind w:left="220"/>
              <w:spacing w:after="0" w:line="250" w:lineRule="exact"/>
              <w:rPr>
                <w:sz w:val="20"/>
                <w:szCs w:val="20"/>
                <w:color w:val="auto"/>
              </w:rPr>
            </w:pPr>
            <w:r>
              <w:rPr>
                <w:rFonts w:ascii="Times New Roman" w:cs="Times New Roman" w:eastAsia="Times New Roman" w:hAnsi="Times New Roman"/>
                <w:sz w:val="20"/>
                <w:szCs w:val="20"/>
                <w:color w:val="auto"/>
              </w:rPr>
              <w:t xml:space="preserve">Total certificates of deposit </w:t>
            </w:r>
            <w:r>
              <w:rPr>
                <w:rFonts w:ascii="Times New Roman" w:cs="Times New Roman" w:eastAsia="Times New Roman" w:hAnsi="Times New Roman"/>
                <w:sz w:val="25"/>
                <w:szCs w:val="25"/>
                <w:color w:val="auto"/>
                <w:vertAlign w:val="superscript"/>
              </w:rPr>
              <w:t>(1)</w:t>
            </w: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2,434,422</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80" w:hanging="332"/>
        <w:spacing w:after="0" w:line="227" w:lineRule="auto"/>
        <w:tabs>
          <w:tab w:leader="none" w:pos="326"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Certificates of deposit in excess of the FDIC insurance limit of $250 thousand per account holder totaled $116.6 million at December 31,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Borrowings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did not have any debt outstanding as of December 31, 2025 or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Borrowing Capacity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available borrowing capacity and the related pledged collateral: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020" w:type="dxa"/>
            <w:vAlign w:val="bottom"/>
            <w:tcBorders>
              <w:top w:val="single" w:sz="8" w:color="auto"/>
            </w:tcBorders>
            <w:gridSpan w:val="4"/>
          </w:tcPr>
          <w:p>
            <w:pPr>
              <w:ind w:left="5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top w:val="single" w:sz="8" w:color="auto"/>
            </w:tcBorders>
          </w:tcPr>
          <w:p>
            <w:pPr>
              <w:spacing w:after="0"/>
              <w:rPr>
                <w:sz w:val="23"/>
                <w:szCs w:val="23"/>
                <w:color w:val="auto"/>
              </w:rPr>
            </w:pPr>
          </w:p>
        </w:tc>
        <w:tc>
          <w:tcPr>
            <w:tcW w:w="2960" w:type="dxa"/>
            <w:vAlign w:val="bottom"/>
            <w:tcBorders>
              <w:top w:val="single" w:sz="8" w:color="auto"/>
            </w:tcBorders>
            <w:gridSpan w:val="3"/>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10"/>
        </w:trPr>
        <w:tc>
          <w:tcPr>
            <w:tcW w:w="4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41"/>
              <w:spacing w:after="0" w:line="209" w:lineRule="exact"/>
              <w:rPr>
                <w:sz w:val="20"/>
                <w:szCs w:val="20"/>
                <w:color w:val="auto"/>
              </w:rPr>
            </w:pPr>
            <w:r>
              <w:rPr>
                <w:rFonts w:ascii="Times New Roman" w:cs="Times New Roman" w:eastAsia="Times New Roman" w:hAnsi="Times New Roman"/>
                <w:sz w:val="20"/>
                <w:szCs w:val="20"/>
                <w:b w:val="1"/>
                <w:bCs w:val="1"/>
                <w:color w:val="auto"/>
                <w:w w:val="96"/>
              </w:rPr>
              <w:t>Available</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41"/>
              <w:spacing w:after="0" w:line="209" w:lineRule="exact"/>
              <w:rPr>
                <w:sz w:val="20"/>
                <w:szCs w:val="20"/>
                <w:color w:val="auto"/>
              </w:rPr>
            </w:pPr>
            <w:r>
              <w:rPr>
                <w:rFonts w:ascii="Times New Roman" w:cs="Times New Roman" w:eastAsia="Times New Roman" w:hAnsi="Times New Roman"/>
                <w:sz w:val="20"/>
                <w:szCs w:val="20"/>
                <w:b w:val="1"/>
                <w:bCs w:val="1"/>
                <w:color w:val="auto"/>
                <w:w w:val="96"/>
              </w:rPr>
              <w:t>Available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41"/>
              <w:spacing w:after="0" w:line="216" w:lineRule="exact"/>
              <w:rPr>
                <w:sz w:val="20"/>
                <w:szCs w:val="20"/>
                <w:color w:val="auto"/>
              </w:rPr>
            </w:pPr>
            <w:r>
              <w:rPr>
                <w:rFonts w:ascii="Times New Roman" w:cs="Times New Roman" w:eastAsia="Times New Roman" w:hAnsi="Times New Roman"/>
                <w:sz w:val="20"/>
                <w:szCs w:val="20"/>
                <w:b w:val="1"/>
                <w:bCs w:val="1"/>
                <w:color w:val="auto"/>
                <w:w w:val="97"/>
              </w:rPr>
              <w:t>Borrowing</w:t>
            </w:r>
          </w:p>
        </w:tc>
        <w:tc>
          <w:tcPr>
            <w:tcW w:w="260" w:type="dxa"/>
            <w:vAlign w:val="bottom"/>
          </w:tcPr>
          <w:p>
            <w:pPr>
              <w:spacing w:after="0"/>
              <w:rPr>
                <w:sz w:val="18"/>
                <w:szCs w:val="18"/>
                <w:color w:val="auto"/>
              </w:rPr>
            </w:pPr>
          </w:p>
        </w:tc>
        <w:tc>
          <w:tcPr>
            <w:tcW w:w="142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20"/>
                <w:szCs w:val="20"/>
                <w:b w:val="1"/>
                <w:bCs w:val="1"/>
                <w:color w:val="auto"/>
                <w:w w:val="97"/>
              </w:rPr>
              <w:t>Pledged</w:t>
            </w:r>
          </w:p>
        </w:tc>
        <w:tc>
          <w:tcPr>
            <w:tcW w:w="220" w:type="dxa"/>
            <w:vAlign w:val="bottom"/>
          </w:tcPr>
          <w:p>
            <w:pPr>
              <w:spacing w:after="0"/>
              <w:rPr>
                <w:sz w:val="18"/>
                <w:szCs w:val="18"/>
                <w:color w:val="auto"/>
              </w:rPr>
            </w:pPr>
          </w:p>
        </w:tc>
        <w:tc>
          <w:tcPr>
            <w:tcW w:w="1340" w:type="dxa"/>
            <w:vAlign w:val="bottom"/>
          </w:tcPr>
          <w:p>
            <w:pPr>
              <w:jc w:val="center"/>
              <w:ind w:right="141"/>
              <w:spacing w:after="0" w:line="216" w:lineRule="exact"/>
              <w:rPr>
                <w:sz w:val="20"/>
                <w:szCs w:val="20"/>
                <w:color w:val="auto"/>
              </w:rPr>
            </w:pPr>
            <w:r>
              <w:rPr>
                <w:rFonts w:ascii="Times New Roman" w:cs="Times New Roman" w:eastAsia="Times New Roman" w:hAnsi="Times New Roman"/>
                <w:sz w:val="20"/>
                <w:szCs w:val="20"/>
                <w:b w:val="1"/>
                <w:bCs w:val="1"/>
                <w:color w:val="auto"/>
                <w:w w:val="97"/>
              </w:rPr>
              <w:t>Borrowing</w:t>
            </w:r>
          </w:p>
        </w:tc>
        <w:tc>
          <w:tcPr>
            <w:tcW w:w="260" w:type="dxa"/>
            <w:vAlign w:val="bottom"/>
          </w:tcPr>
          <w:p>
            <w:pPr>
              <w:spacing w:after="0"/>
              <w:rPr>
                <w:sz w:val="18"/>
                <w:szCs w:val="18"/>
                <w:color w:val="auto"/>
              </w:rPr>
            </w:pPr>
          </w:p>
        </w:tc>
        <w:tc>
          <w:tcPr>
            <w:tcW w:w="1360" w:type="dxa"/>
            <w:vAlign w:val="bottom"/>
          </w:tcPr>
          <w:p>
            <w:pPr>
              <w:jc w:val="right"/>
              <w:ind w:right="341"/>
              <w:spacing w:after="0" w:line="216" w:lineRule="exact"/>
              <w:rPr>
                <w:sz w:val="20"/>
                <w:szCs w:val="20"/>
                <w:color w:val="auto"/>
              </w:rPr>
            </w:pPr>
            <w:r>
              <w:rPr>
                <w:rFonts w:ascii="Times New Roman" w:cs="Times New Roman" w:eastAsia="Times New Roman" w:hAnsi="Times New Roman"/>
                <w:sz w:val="20"/>
                <w:szCs w:val="20"/>
                <w:b w:val="1"/>
                <w:bCs w:val="1"/>
                <w:color w:val="auto"/>
              </w:rPr>
              <w:t>Pledged</w:t>
            </w:r>
          </w:p>
        </w:tc>
      </w:tr>
      <w:tr>
        <w:trPr>
          <w:trHeight w:val="283"/>
        </w:trPr>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6"/>
              </w:rPr>
              <w:t>Capacity</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80"/>
              <w:spacing w:after="0" w:line="283" w:lineRule="exact"/>
              <w:rPr>
                <w:sz w:val="20"/>
                <w:szCs w:val="20"/>
                <w:color w:val="auto"/>
              </w:rPr>
            </w:pPr>
            <w:r>
              <w:rPr>
                <w:rFonts w:ascii="Times New Roman" w:cs="Times New Roman" w:eastAsia="Times New Roman" w:hAnsi="Times New Roman"/>
                <w:sz w:val="20"/>
                <w:szCs w:val="20"/>
                <w:b w:val="1"/>
                <w:bCs w:val="1"/>
                <w:color w:val="auto"/>
                <w:w w:val="92"/>
              </w:rPr>
              <w:t xml:space="preserve">Collateral </w:t>
            </w:r>
            <w:r>
              <w:rPr>
                <w:rFonts w:ascii="Times New Roman" w:cs="Times New Roman" w:eastAsia="Times New Roman" w:hAnsi="Times New Roman"/>
                <w:sz w:val="25"/>
                <w:szCs w:val="25"/>
                <w:b w:val="1"/>
                <w:bCs w:val="1"/>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6"/>
              </w:rPr>
              <w:t>Capacity</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61"/>
              <w:spacing w:after="0" w:line="283" w:lineRule="exact"/>
              <w:rPr>
                <w:sz w:val="20"/>
                <w:szCs w:val="20"/>
                <w:color w:val="auto"/>
              </w:rPr>
            </w:pPr>
            <w:r>
              <w:rPr>
                <w:rFonts w:ascii="Times New Roman" w:cs="Times New Roman" w:eastAsia="Times New Roman" w:hAnsi="Times New Roman"/>
                <w:sz w:val="20"/>
                <w:szCs w:val="20"/>
                <w:b w:val="1"/>
                <w:bCs w:val="1"/>
                <w:color w:val="auto"/>
                <w:w w:val="98"/>
              </w:rPr>
              <w:t xml:space="preserve">Collateral </w:t>
            </w:r>
            <w:r>
              <w:rPr>
                <w:rFonts w:ascii="Times New Roman" w:cs="Times New Roman" w:eastAsia="Times New Roman" w:hAnsi="Times New Roman"/>
                <w:sz w:val="25"/>
                <w:szCs w:val="25"/>
                <w:b w:val="1"/>
                <w:bCs w:val="1"/>
                <w:color w:val="auto"/>
                <w:w w:val="98"/>
                <w:vertAlign w:val="superscript"/>
              </w:rPr>
              <w:t>(2)</w:t>
            </w:r>
          </w:p>
        </w:tc>
      </w:tr>
      <w:tr>
        <w:trPr>
          <w:trHeight w:val="2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FRB Discount Window</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3,294,827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4,245,845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2,635,034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3,245,547</w:t>
            </w:r>
          </w:p>
        </w:tc>
      </w:tr>
      <w:tr>
        <w:trPr>
          <w:trHeight w:val="26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FHLB of Des Moines</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679,361</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861,913</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626,117</w:t>
            </w: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829,885</w:t>
            </w:r>
          </w:p>
        </w:tc>
      </w:tr>
      <w:tr>
        <w:trPr>
          <w:trHeight w:val="288"/>
        </w:trPr>
        <w:tc>
          <w:tcPr>
            <w:tcW w:w="4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3,974,188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5,107,758</w:t>
            </w:r>
          </w:p>
        </w:tc>
        <w:tc>
          <w:tcPr>
            <w:tcW w:w="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3,261,151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4,075,432</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160" w:hanging="332"/>
        <w:spacing w:after="0" w:line="227" w:lineRule="auto"/>
        <w:tabs>
          <w:tab w:leader="none" w:pos="326"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the Company had $4.2 billion in loans pledged under the FRB Discount Window and $486.2 million in loans and $375.7 million in securities available for sale at fair value pledged to the FHLB of Des Moines.</w:t>
      </w:r>
    </w:p>
    <w:p>
      <w:pPr>
        <w:spacing w:after="0" w:line="39" w:lineRule="exact"/>
        <w:rPr>
          <w:rFonts w:ascii="Times New Roman" w:cs="Times New Roman" w:eastAsia="Times New Roman" w:hAnsi="Times New Roman"/>
          <w:sz w:val="26"/>
          <w:szCs w:val="26"/>
          <w:color w:val="auto"/>
          <w:vertAlign w:val="superscript"/>
        </w:rPr>
      </w:pPr>
    </w:p>
    <w:p>
      <w:pPr>
        <w:ind w:left="340" w:right="160" w:hanging="332"/>
        <w:spacing w:after="0" w:line="221" w:lineRule="auto"/>
        <w:tabs>
          <w:tab w:leader="none" w:pos="326"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2024, the Company had $3.2 billion in loans pledged under the FRB Discount Window and $456.4 million in loans and $373.5 million in securities available for sale at fair value pledged to the FHLB of Des Moines.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Other Liabilities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liabilities consist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87,341</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78,131</w:t>
            </w:r>
          </w:p>
        </w:tc>
      </w:tr>
      <w:tr>
        <w:trPr>
          <w:trHeight w:val="257"/>
        </w:trPr>
        <w:tc>
          <w:tcPr>
            <w:tcW w:w="572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Due to borrowers </w:t>
            </w:r>
            <w:r>
              <w:rPr>
                <w:rFonts w:ascii="Times New Roman" w:cs="Times New Roman" w:eastAsia="Times New Roman" w:hAnsi="Times New Roman"/>
                <w:sz w:val="25"/>
                <w:szCs w:val="25"/>
                <w:color w:val="auto"/>
                <w:vertAlign w:val="superscript"/>
              </w:rPr>
              <w:t>(1)</w:t>
            </w:r>
          </w:p>
        </w:tc>
        <w:tc>
          <w:tcPr>
            <w:tcW w:w="282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60,254</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24,449</w:t>
            </w:r>
          </w:p>
        </w:tc>
      </w:tr>
      <w:tr>
        <w:trPr>
          <w:trHeight w:val="25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8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15,826</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28,502</w:t>
            </w:r>
          </w:p>
        </w:tc>
      </w:tr>
      <w:tr>
        <w:trPr>
          <w:trHeight w:val="257"/>
        </w:trPr>
        <w:tc>
          <w:tcPr>
            <w:tcW w:w="572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Payable to investors </w:t>
            </w:r>
            <w:r>
              <w:rPr>
                <w:rFonts w:ascii="Times New Roman" w:cs="Times New Roman" w:eastAsia="Times New Roman" w:hAnsi="Times New Roman"/>
                <w:sz w:val="25"/>
                <w:szCs w:val="25"/>
                <w:color w:val="auto"/>
                <w:vertAlign w:val="superscript"/>
              </w:rPr>
              <w:t>(2)</w:t>
            </w:r>
          </w:p>
        </w:tc>
        <w:tc>
          <w:tcPr>
            <w:tcW w:w="2820" w:type="dxa"/>
            <w:vAlign w:val="bottom"/>
          </w:tcPr>
          <w:p>
            <w:pPr>
              <w:spacing w:after="0"/>
              <w:rPr>
                <w:sz w:val="22"/>
                <w:szCs w:val="2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11,926</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22,833</w:t>
            </w:r>
          </w:p>
        </w:tc>
      </w:tr>
      <w:tr>
        <w:trPr>
          <w:trHeight w:val="256"/>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8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58,171</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66,626</w:t>
            </w:r>
          </w:p>
        </w:tc>
      </w:tr>
      <w:tr>
        <w:trPr>
          <w:trHeight w:val="250"/>
        </w:trPr>
        <w:tc>
          <w:tcPr>
            <w:tcW w:w="5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other liabilities</w:t>
            </w:r>
          </w:p>
        </w:tc>
        <w:tc>
          <w:tcPr>
            <w:tcW w:w="2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233,518</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220,541</w:t>
            </w:r>
          </w:p>
        </w:tc>
      </w:tr>
      <w:tr>
        <w:trPr>
          <w:trHeight w:val="21"/>
        </w:trPr>
        <w:tc>
          <w:tcPr>
            <w:tcW w:w="57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originated loans for which disbursement of funds is pending to borrowers.</w:t>
      </w:r>
    </w:p>
    <w:p>
      <w:pPr>
        <w:spacing w:after="0" w:line="47" w:lineRule="exact"/>
        <w:rPr>
          <w:rFonts w:ascii="Times New Roman" w:cs="Times New Roman" w:eastAsia="Times New Roman" w:hAnsi="Times New Roman"/>
          <w:sz w:val="26"/>
          <w:szCs w:val="26"/>
          <w:color w:val="auto"/>
          <w:vertAlign w:val="superscript"/>
        </w:rPr>
      </w:pPr>
    </w:p>
    <w:p>
      <w:pPr>
        <w:ind w:left="280" w:hanging="272"/>
        <w:spacing w:after="0" w:line="189" w:lineRule="auto"/>
        <w:tabs>
          <w:tab w:leader="none" w:pos="280" w:val="left"/>
        </w:tabs>
        <w:numPr>
          <w:ilvl w:val="0"/>
          <w:numId w:val="8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principal and interest on loans collected by the Company and pending disbursement to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Reserved for Future Issuance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common stock reserved for future issuance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32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36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Available for future RSU, PBRSU and stock option grants</w:t>
            </w:r>
          </w:p>
        </w:tc>
        <w:tc>
          <w:tcPr>
            <w:tcW w:w="32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20,915,498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21,815,259</w:t>
            </w:r>
          </w:p>
        </w:tc>
      </w:tr>
      <w:tr>
        <w:trPr>
          <w:trHeight w:val="256"/>
        </w:trPr>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Unvested RSUs, PBRSUs and stock options outstanding</w:t>
            </w:r>
          </w:p>
        </w:tc>
        <w:tc>
          <w:tcPr>
            <w:tcW w:w="32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5,806,751</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7,281,684</w:t>
            </w:r>
          </w:p>
        </w:tc>
      </w:tr>
      <w:tr>
        <w:trPr>
          <w:trHeight w:val="257"/>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Available for ESPP</w:t>
            </w:r>
          </w:p>
        </w:tc>
        <w:tc>
          <w:tcPr>
            <w:tcW w:w="326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8,681,503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8,681,503</w:t>
            </w:r>
          </w:p>
        </w:tc>
      </w:tr>
      <w:tr>
        <w:trPr>
          <w:trHeight w:val="250"/>
        </w:trPr>
        <w:tc>
          <w:tcPr>
            <w:tcW w:w="6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reserved for future issuance</w:t>
            </w:r>
          </w:p>
        </w:tc>
        <w:tc>
          <w:tcPr>
            <w:tcW w:w="3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35,403,752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37,778,446</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47"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20"/>
          <w:szCs w:val="20"/>
          <w:color w:val="auto"/>
        </w:rPr>
        <w:t>On November 4, 2025, the Company’s Board of Directors approved a program to repurchase and acquire up to $100 million of the Company’s common stock through December 31, 2026. During the fourth quarter of 2025, the Company repurchased 389,624 shares of LendingClub common stock on the open market at an average price of $18.27 per share and subsequently retired those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Incentive Plans</w:t>
      </w:r>
    </w:p>
    <w:p>
      <w:pPr>
        <w:spacing w:after="0" w:line="26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Company’s equity incentive plans provide for granting awards, including RSUs, PBRSUs, cash awards and stock options to employees, officers and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260"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Stock-based compensation expense, included in “Compensation and benefits” expense on the Income Statement, was as follows for the periods presented: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RSUs</w:t>
            </w:r>
          </w:p>
        </w:tc>
        <w:tc>
          <w:tcPr>
            <w:tcW w:w="1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34,730</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43,841</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57,213</w:t>
            </w:r>
          </w:p>
        </w:tc>
      </w:tr>
      <w:tr>
        <w:trPr>
          <w:trHeight w:val="256"/>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PBRSUs</w:t>
            </w:r>
          </w:p>
        </w:tc>
        <w:tc>
          <w:tcPr>
            <w:tcW w:w="1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4,349</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3,276</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4,406</w:t>
            </w:r>
          </w:p>
        </w:tc>
      </w:tr>
      <w:tr>
        <w:trPr>
          <w:trHeight w:val="250"/>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Stock-based compensation expense, gross</w:t>
            </w:r>
          </w:p>
        </w:tc>
        <w:tc>
          <w:tcPr>
            <w:tcW w:w="15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39,079</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47,117</w:t>
            </w: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61,619</w:t>
            </w:r>
          </w:p>
        </w:tc>
      </w:tr>
      <w:tr>
        <w:trPr>
          <w:trHeight w:val="2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Less: Capitalized stock-based compensation expense</w:t>
            </w:r>
          </w:p>
        </w:tc>
        <w:tc>
          <w:tcPr>
            <w:tcW w:w="1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4,793</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7,048</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9,230</w:t>
            </w:r>
          </w:p>
        </w:tc>
      </w:tr>
      <w:tr>
        <w:trPr>
          <w:trHeight w:val="275"/>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Stock-based compensation expense, net</w:t>
            </w:r>
          </w:p>
        </w:tc>
        <w:tc>
          <w:tcPr>
            <w:tcW w:w="15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34,286</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40,069</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52,389</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RSU activity: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81"/>
              <w:spacing w:after="0" w:line="203" w:lineRule="exact"/>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414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40" w:type="dxa"/>
            <w:vAlign w:val="bottom"/>
          </w:tcPr>
          <w:p>
            <w:pPr>
              <w:spacing w:after="0"/>
              <w:rPr>
                <w:sz w:val="17"/>
                <w:szCs w:val="17"/>
                <w:color w:val="auto"/>
              </w:rPr>
            </w:pPr>
          </w:p>
        </w:tc>
        <w:tc>
          <w:tcPr>
            <w:tcW w:w="1300" w:type="dxa"/>
            <w:vAlign w:val="bottom"/>
          </w:tcPr>
          <w:p>
            <w:pPr>
              <w:jc w:val="center"/>
              <w:ind w:right="141"/>
              <w:spacing w:after="0" w:line="203"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02"/>
        </w:trPr>
        <w:tc>
          <w:tcPr>
            <w:tcW w:w="556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57"/>
        </w:trPr>
        <w:tc>
          <w:tcPr>
            <w:tcW w:w="55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of Units</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5"/>
              </w:rPr>
              <w:t>Fair Value</w:t>
            </w: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at December 31, 2024</w:t>
            </w:r>
          </w:p>
        </w:tc>
        <w:tc>
          <w:tcPr>
            <w:tcW w:w="4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5,638,230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0" w:type="dxa"/>
            <w:vAlign w:val="bottom"/>
          </w:tcPr>
          <w:p>
            <w:pPr>
              <w:spacing w:after="0"/>
              <w:rPr>
                <w:sz w:val="1"/>
                <w:szCs w:val="1"/>
                <w:color w:val="auto"/>
              </w:rPr>
            </w:pPr>
          </w:p>
        </w:tc>
      </w:tr>
      <w:tr>
        <w:trPr>
          <w:trHeight w:val="257"/>
        </w:trPr>
        <w:tc>
          <w:tcPr>
            <w:tcW w:w="5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4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2,874,448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w:t>
            </w: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4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(3,442,613)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0" w:type="dxa"/>
            <w:vAlign w:val="bottom"/>
          </w:tcPr>
          <w:p>
            <w:pPr>
              <w:spacing w:after="0"/>
              <w:rPr>
                <w:sz w:val="1"/>
                <w:szCs w:val="1"/>
                <w:color w:val="auto"/>
              </w:rPr>
            </w:pPr>
          </w:p>
        </w:tc>
      </w:tr>
      <w:tr>
        <w:trPr>
          <w:trHeight w:val="25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Forfeited/expired</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(791,378)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0" w:type="dxa"/>
            <w:vAlign w:val="bottom"/>
          </w:tcPr>
          <w:p>
            <w:pPr>
              <w:spacing w:after="0"/>
              <w:rPr>
                <w:sz w:val="1"/>
                <w:szCs w:val="1"/>
                <w:color w:val="auto"/>
              </w:rPr>
            </w:pPr>
          </w:p>
        </w:tc>
      </w:tr>
      <w:tr>
        <w:trPr>
          <w:trHeight w:val="275"/>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at December 31, 2025</w:t>
            </w:r>
          </w:p>
        </w:tc>
        <w:tc>
          <w:tcPr>
            <w:tcW w:w="4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4,278,687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granted 2,874,448 RSUs with an aggregate fair value of $36.1 million.</w:t>
      </w:r>
    </w:p>
    <w:p>
      <w:pPr>
        <w:spacing w:after="0" w:line="243"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20"/>
          <w:szCs w:val="20"/>
          <w:color w:val="auto"/>
        </w:rPr>
        <w:t>As of December 31, 2025, there was $36.9 million of unrecognized compensation cost related to unvested RSUs, which is expected to be recognized over a weighted-average period of approximately 1.5 years, subject to any forfeitures.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247"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The Company’s outstanding PBRSU awards consist of awards with a market-based metric and awards with an operating-based metric, all with a three-year performance period, following which any earned portion is immediately vested. With respect to PBRSU awards with a market-based metric, the compensation expense of the award is fixed at the time of grant (incorporating the probability of achieving the market-based metric) and expensed over the performance period. With respect to PBRSU awards with an operating-based metric, the compensation expense of the award is set at the time of grant (assuming a target level of achievement), subsequently adjusted for actual performance during the performance period and expensed over the performance/vesting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PBRSU activity: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01"/>
              <w:spacing w:after="0" w:line="203" w:lineRule="exact"/>
              <w:rPr>
                <w:sz w:val="20"/>
                <w:szCs w:val="20"/>
                <w:color w:val="auto"/>
              </w:rPr>
            </w:pPr>
            <w:r>
              <w:rPr>
                <w:rFonts w:ascii="Times New Roman" w:cs="Times New Roman" w:eastAsia="Times New Roman" w:hAnsi="Times New Roman"/>
                <w:sz w:val="20"/>
                <w:szCs w:val="20"/>
                <w:b w:val="1"/>
                <w:bCs w:val="1"/>
                <w:color w:val="auto"/>
                <w:w w:val="96"/>
              </w:rPr>
              <w:t>Weighted-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408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60" w:type="dxa"/>
            <w:vAlign w:val="bottom"/>
          </w:tcPr>
          <w:p>
            <w:pPr>
              <w:spacing w:after="0"/>
              <w:rPr>
                <w:sz w:val="17"/>
                <w:szCs w:val="17"/>
                <w:color w:val="auto"/>
              </w:rPr>
            </w:pPr>
          </w:p>
        </w:tc>
        <w:tc>
          <w:tcPr>
            <w:tcW w:w="1380" w:type="dxa"/>
            <w:vAlign w:val="bottom"/>
          </w:tcPr>
          <w:p>
            <w:pPr>
              <w:jc w:val="center"/>
              <w:ind w:right="161"/>
              <w:spacing w:after="0" w:line="203" w:lineRule="exact"/>
              <w:rPr>
                <w:sz w:val="20"/>
                <w:szCs w:val="20"/>
                <w:color w:val="auto"/>
              </w:rPr>
            </w:pPr>
            <w:r>
              <w:rPr>
                <w:rFonts w:ascii="Times New Roman" w:cs="Times New Roman" w:eastAsia="Times New Roman" w:hAnsi="Times New Roman"/>
                <w:sz w:val="20"/>
                <w:szCs w:val="20"/>
                <w:b w:val="1"/>
                <w:bCs w:val="1"/>
                <w:color w:val="auto"/>
                <w:w w:val="95"/>
              </w:rPr>
              <w:t>Average</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61"/>
              <w:spacing w:after="0" w:line="203"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of Units</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Unvested at December 31, 2024</w:t>
            </w:r>
          </w:p>
        </w:tc>
        <w:tc>
          <w:tcPr>
            <w:tcW w:w="4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1,212,209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8.68</w:t>
            </w:r>
          </w:p>
        </w:tc>
        <w:tc>
          <w:tcPr>
            <w:tcW w:w="0" w:type="dxa"/>
            <w:vAlign w:val="bottom"/>
          </w:tcPr>
          <w:p>
            <w:pPr>
              <w:spacing w:after="0"/>
              <w:rPr>
                <w:sz w:val="1"/>
                <w:szCs w:val="1"/>
                <w:color w:val="auto"/>
              </w:rPr>
            </w:pPr>
          </w:p>
        </w:tc>
      </w:tr>
      <w:tr>
        <w:trPr>
          <w:trHeight w:val="257"/>
        </w:trPr>
        <w:tc>
          <w:tcPr>
            <w:tcW w:w="5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4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325,472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0" w:type="dxa"/>
            <w:vAlign w:val="bottom"/>
          </w:tcPr>
          <w:p>
            <w:pPr>
              <w:spacing w:after="0"/>
              <w:rPr>
                <w:sz w:val="1"/>
                <w:szCs w:val="1"/>
                <w:color w:val="auto"/>
              </w:rPr>
            </w:pPr>
          </w:p>
        </w:tc>
      </w:tr>
      <w:tr>
        <w:trPr>
          <w:trHeight w:val="257"/>
        </w:trPr>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Forfeited/expired</w:t>
            </w:r>
          </w:p>
        </w:tc>
        <w:tc>
          <w:tcPr>
            <w:tcW w:w="4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(376,862)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Unvested at December 31, 2025</w:t>
            </w:r>
          </w:p>
        </w:tc>
        <w:tc>
          <w:tcPr>
            <w:tcW w:w="4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1,160,819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granted 325,472 PBRSUs with an aggregate fair value of $3.6 million.</w:t>
      </w:r>
    </w:p>
    <w:p>
      <w:pPr>
        <w:spacing w:after="0" w:line="25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2025, there was $3.7 million of unrecognized compensation cost related to unvested PBRSUs, which is expected to be recognized over a weighted-average period of approximately 0.8 years, subject to any forfeitures.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activities for the Company’s stock options: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01"/>
              <w:spacing w:after="0" w:line="203" w:lineRule="exact"/>
              <w:rPr>
                <w:sz w:val="20"/>
                <w:szCs w:val="20"/>
                <w:color w:val="auto"/>
              </w:rPr>
            </w:pPr>
            <w:r>
              <w:rPr>
                <w:rFonts w:ascii="Times New Roman" w:cs="Times New Roman" w:eastAsia="Times New Roman" w:hAnsi="Times New Roman"/>
                <w:sz w:val="20"/>
                <w:szCs w:val="20"/>
                <w:b w:val="1"/>
                <w:bCs w:val="1"/>
                <w:color w:val="auto"/>
                <w:w w:val="96"/>
              </w:rPr>
              <w:t>Weighted-</w:t>
            </w:r>
          </w:p>
        </w:tc>
        <w:tc>
          <w:tcPr>
            <w:tcW w:w="20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Weighted-Average</w:t>
            </w:r>
          </w:p>
        </w:tc>
        <w:tc>
          <w:tcPr>
            <w:tcW w:w="3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vMerge w:val="restart"/>
          </w:tcPr>
          <w:p>
            <w:pPr>
              <w:jc w:val="center"/>
              <w:ind w:right="143"/>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center"/>
              <w:ind w:right="201"/>
              <w:spacing w:after="0" w:line="203"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280" w:type="dxa"/>
            <w:vAlign w:val="bottom"/>
          </w:tcPr>
          <w:p>
            <w:pPr>
              <w:spacing w:after="0"/>
              <w:rPr>
                <w:sz w:val="17"/>
                <w:szCs w:val="17"/>
                <w:color w:val="auto"/>
              </w:rPr>
            </w:pPr>
          </w:p>
        </w:tc>
        <w:tc>
          <w:tcPr>
            <w:tcW w:w="1400" w:type="dxa"/>
            <w:vAlign w:val="bottom"/>
          </w:tcPr>
          <w:p>
            <w:pPr>
              <w:jc w:val="center"/>
              <w:ind w:right="201"/>
              <w:spacing w:after="0" w:line="196" w:lineRule="exact"/>
              <w:rPr>
                <w:sz w:val="20"/>
                <w:szCs w:val="20"/>
                <w:color w:val="auto"/>
              </w:rPr>
            </w:pPr>
            <w:r>
              <w:rPr>
                <w:rFonts w:ascii="Times New Roman" w:cs="Times New Roman" w:eastAsia="Times New Roman" w:hAnsi="Times New Roman"/>
                <w:sz w:val="20"/>
                <w:szCs w:val="20"/>
                <w:b w:val="1"/>
                <w:bCs w:val="1"/>
                <w:color w:val="auto"/>
                <w:w w:val="96"/>
              </w:rPr>
              <w:t>Exercise</w:t>
            </w:r>
          </w:p>
        </w:tc>
        <w:tc>
          <w:tcPr>
            <w:tcW w:w="202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300" w:type="dxa"/>
            <w:vAlign w:val="bottom"/>
          </w:tcPr>
          <w:p>
            <w:pPr>
              <w:spacing w:after="0"/>
              <w:rPr>
                <w:sz w:val="17"/>
                <w:szCs w:val="17"/>
                <w:color w:val="auto"/>
              </w:rPr>
            </w:pPr>
          </w:p>
        </w:tc>
        <w:tc>
          <w:tcPr>
            <w:tcW w:w="1720" w:type="dxa"/>
            <w:vAlign w:val="bottom"/>
          </w:tcPr>
          <w:p>
            <w:pPr>
              <w:jc w:val="center"/>
              <w:ind w:right="183"/>
              <w:spacing w:after="0" w:line="196"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center"/>
              <w:ind w:right="261"/>
              <w:spacing w:after="0" w:line="196" w:lineRule="exact"/>
              <w:rPr>
                <w:sz w:val="20"/>
                <w:szCs w:val="20"/>
                <w:color w:val="auto"/>
              </w:rPr>
            </w:pPr>
            <w:r>
              <w:rPr>
                <w:rFonts w:ascii="Times New Roman" w:cs="Times New Roman" w:eastAsia="Times New Roman" w:hAnsi="Times New Roman"/>
                <w:sz w:val="20"/>
                <w:szCs w:val="20"/>
                <w:b w:val="1"/>
                <w:bCs w:val="1"/>
                <w:color w:val="auto"/>
              </w:rPr>
              <w:t>Price Per</w:t>
            </w:r>
          </w:p>
        </w:tc>
        <w:tc>
          <w:tcPr>
            <w:tcW w:w="2020" w:type="dxa"/>
            <w:vAlign w:val="bottom"/>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Contractual Life (in</w:t>
            </w:r>
          </w:p>
        </w:tc>
        <w:tc>
          <w:tcPr>
            <w:tcW w:w="300" w:type="dxa"/>
            <w:vAlign w:val="bottom"/>
          </w:tcPr>
          <w:p>
            <w:pPr>
              <w:spacing w:after="0"/>
              <w:rPr>
                <w:sz w:val="17"/>
                <w:szCs w:val="17"/>
                <w:color w:val="auto"/>
              </w:rPr>
            </w:pPr>
          </w:p>
        </w:tc>
        <w:tc>
          <w:tcPr>
            <w:tcW w:w="1720" w:type="dxa"/>
            <w:vAlign w:val="bottom"/>
          </w:tcPr>
          <w:p>
            <w:pPr>
              <w:jc w:val="center"/>
              <w:ind w:right="143"/>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Value </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57"/>
        </w:trPr>
        <w:tc>
          <w:tcPr>
            <w:tcW w:w="39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Options</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years)</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jc w:val="right"/>
              <w:ind w:right="201"/>
              <w:spacing w:after="0" w:line="186" w:lineRule="exact"/>
              <w:rPr>
                <w:sz w:val="20"/>
                <w:szCs w:val="20"/>
                <w:color w:val="auto"/>
              </w:rPr>
            </w:pPr>
            <w:r>
              <w:rPr>
                <w:rFonts w:ascii="Times New Roman" w:cs="Times New Roman" w:eastAsia="Times New Roman" w:hAnsi="Times New Roman"/>
                <w:sz w:val="20"/>
                <w:szCs w:val="20"/>
                <w:color w:val="auto"/>
                <w:w w:val="99"/>
              </w:rPr>
              <w:t>Outstanding and exercisable at December 31,</w:t>
            </w:r>
          </w:p>
        </w:tc>
        <w:tc>
          <w:tcPr>
            <w:tcW w:w="160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431,245</w:t>
            </w:r>
          </w:p>
        </w:tc>
        <w:tc>
          <w:tcPr>
            <w:tcW w:w="2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46.29</w:t>
            </w:r>
          </w:p>
        </w:tc>
        <w:tc>
          <w:tcPr>
            <w:tcW w:w="2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920" w:type="dxa"/>
            <w:vAlign w:val="bottom"/>
            <w:shd w:val="clear" w:color="auto" w:fill="CCEEFF"/>
          </w:tcPr>
          <w:p>
            <w:pPr>
              <w:jc w:val="right"/>
              <w:ind w:right="3321"/>
              <w:spacing w:after="0"/>
              <w:rPr>
                <w:sz w:val="20"/>
                <w:szCs w:val="20"/>
                <w:color w:val="auto"/>
              </w:rPr>
            </w:pPr>
            <w:r>
              <w:rPr>
                <w:rFonts w:ascii="Times New Roman" w:cs="Times New Roman" w:eastAsia="Times New Roman" w:hAnsi="Times New Roman"/>
                <w:sz w:val="20"/>
                <w:szCs w:val="20"/>
                <w:color w:val="auto"/>
              </w:rPr>
              <w:t>2024</w:t>
            </w:r>
          </w:p>
        </w:tc>
        <w:tc>
          <w:tcPr>
            <w:tcW w:w="16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20" w:type="dxa"/>
            <w:vAlign w:val="bottom"/>
            <w:tcBorders>
              <w:bottom w:val="single" w:sz="8" w:color="auto"/>
            </w:tcBorders>
          </w:tcPr>
          <w:p>
            <w:pPr>
              <w:jc w:val="right"/>
              <w:ind w:right="2221"/>
              <w:spacing w:after="0"/>
              <w:rPr>
                <w:sz w:val="20"/>
                <w:szCs w:val="20"/>
                <w:color w:val="auto"/>
              </w:rPr>
            </w:pPr>
            <w:r>
              <w:rPr>
                <w:rFonts w:ascii="Times New Roman" w:cs="Times New Roman" w:eastAsia="Times New Roman" w:hAnsi="Times New Roman"/>
                <w:sz w:val="20"/>
                <w:szCs w:val="20"/>
                <w:color w:val="auto"/>
              </w:rPr>
              <w:t>Forfeited/Expired</w:t>
            </w:r>
          </w:p>
        </w:tc>
        <w:tc>
          <w:tcPr>
            <w:tcW w:w="16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(64,000)</w:t>
            </w: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115.80</w:t>
            </w:r>
          </w:p>
        </w:tc>
        <w:tc>
          <w:tcPr>
            <w:tcW w:w="2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jc w:val="right"/>
              <w:ind w:right="201"/>
              <w:spacing w:after="0" w:line="186" w:lineRule="exact"/>
              <w:rPr>
                <w:sz w:val="20"/>
                <w:szCs w:val="20"/>
                <w:color w:val="auto"/>
              </w:rPr>
            </w:pPr>
            <w:r>
              <w:rPr>
                <w:rFonts w:ascii="Times New Roman" w:cs="Times New Roman" w:eastAsia="Times New Roman" w:hAnsi="Times New Roman"/>
                <w:sz w:val="20"/>
                <w:szCs w:val="20"/>
                <w:color w:val="auto"/>
                <w:w w:val="99"/>
              </w:rPr>
              <w:t>Outstanding and exercisable at December 31,</w:t>
            </w:r>
          </w:p>
        </w:tc>
        <w:tc>
          <w:tcPr>
            <w:tcW w:w="160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367,245</w:t>
            </w:r>
          </w:p>
        </w:tc>
        <w:tc>
          <w:tcPr>
            <w:tcW w:w="2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34.18</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3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272"/>
        </w:trPr>
        <w:tc>
          <w:tcPr>
            <w:tcW w:w="3920" w:type="dxa"/>
            <w:vAlign w:val="bottom"/>
            <w:tcBorders>
              <w:bottom w:val="single" w:sz="8" w:color="auto"/>
            </w:tcBorders>
            <w:shd w:val="clear" w:color="auto" w:fill="CCEEFF"/>
          </w:tcPr>
          <w:p>
            <w:pPr>
              <w:jc w:val="right"/>
              <w:ind w:right="3321"/>
              <w:spacing w:after="0"/>
              <w:rPr>
                <w:sz w:val="20"/>
                <w:szCs w:val="20"/>
                <w:color w:val="auto"/>
              </w:rPr>
            </w:pPr>
            <w:r>
              <w:rPr>
                <w:rFonts w:ascii="Times New Roman" w:cs="Times New Roman" w:eastAsia="Times New Roman" w:hAnsi="Times New Roman"/>
                <w:sz w:val="20"/>
                <w:szCs w:val="20"/>
                <w:color w:val="auto"/>
              </w:rPr>
              <w:t>2025</w:t>
            </w:r>
          </w:p>
        </w:tc>
        <w:tc>
          <w:tcPr>
            <w:tcW w:w="1600" w:type="dxa"/>
            <w:vAlign w:val="bottom"/>
            <w:tcBorders>
              <w:bottom w:val="single" w:sz="8" w:color="auto"/>
            </w:tcBorders>
            <w:vMerge w:val="continue"/>
            <w:shd w:val="clear" w:color="auto" w:fill="CCEEFF"/>
          </w:tcPr>
          <w:p>
            <w:pPr>
              <w:spacing w:after="0"/>
              <w:rPr>
                <w:sz w:val="23"/>
                <w:szCs w:val="23"/>
                <w:color w:val="auto"/>
              </w:rPr>
            </w:pPr>
          </w:p>
        </w:tc>
        <w:tc>
          <w:tcPr>
            <w:tcW w:w="280" w:type="dxa"/>
            <w:vAlign w:val="bottom"/>
            <w:tcBorders>
              <w:bottom w:val="single" w:sz="8" w:color="auto"/>
            </w:tcBorders>
            <w:vMerge w:val="continue"/>
            <w:shd w:val="clear" w:color="auto" w:fill="CCEEFF"/>
          </w:tcPr>
          <w:p>
            <w:pPr>
              <w:spacing w:after="0"/>
              <w:rPr>
                <w:sz w:val="23"/>
                <w:szCs w:val="23"/>
                <w:color w:val="auto"/>
              </w:rPr>
            </w:pPr>
          </w:p>
        </w:tc>
        <w:tc>
          <w:tcPr>
            <w:tcW w:w="1400" w:type="dxa"/>
            <w:vAlign w:val="bottom"/>
            <w:tcBorders>
              <w:bottom w:val="single" w:sz="8" w:color="auto"/>
            </w:tcBorders>
            <w:vMerge w:val="continue"/>
            <w:shd w:val="clear" w:color="auto" w:fill="CCEEFF"/>
          </w:tcPr>
          <w:p>
            <w:pPr>
              <w:spacing w:after="0"/>
              <w:rPr>
                <w:sz w:val="23"/>
                <w:szCs w:val="23"/>
                <w:color w:val="auto"/>
              </w:rPr>
            </w:pPr>
          </w:p>
        </w:tc>
        <w:tc>
          <w:tcPr>
            <w:tcW w:w="2020" w:type="dxa"/>
            <w:vAlign w:val="bottom"/>
            <w:tcBorders>
              <w:bottom w:val="single" w:sz="8" w:color="auto"/>
            </w:tcBorders>
            <w:vMerge w:val="continue"/>
            <w:shd w:val="clear" w:color="auto" w:fill="CCEEFF"/>
          </w:tcPr>
          <w:p>
            <w:pPr>
              <w:spacing w:after="0"/>
              <w:rPr>
                <w:sz w:val="23"/>
                <w:szCs w:val="23"/>
                <w:color w:val="auto"/>
              </w:rPr>
            </w:pPr>
          </w:p>
        </w:tc>
        <w:tc>
          <w:tcPr>
            <w:tcW w:w="300" w:type="dxa"/>
            <w:vAlign w:val="bottom"/>
            <w:tcBorders>
              <w:bottom w:val="single" w:sz="8" w:color="auto"/>
            </w:tcBorders>
            <w:vMerge w:val="continue"/>
            <w:shd w:val="clear" w:color="auto" w:fill="CCEEFF"/>
          </w:tcPr>
          <w:p>
            <w:pPr>
              <w:spacing w:after="0"/>
              <w:rPr>
                <w:sz w:val="23"/>
                <w:szCs w:val="23"/>
                <w:color w:val="auto"/>
              </w:rPr>
            </w:pPr>
          </w:p>
        </w:tc>
        <w:tc>
          <w:tcPr>
            <w:tcW w:w="172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520" w:hanging="332"/>
        <w:spacing w:after="0" w:line="221" w:lineRule="auto"/>
        <w:tabs>
          <w:tab w:leader="none" w:pos="294"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aggregate intrinsic value is calculated as the difference between the exercise price of the underlying awards and the Company’s closing stock price of $18.94 as reported on the New York Stock Exchange on December 31, 2025.</w:t>
      </w:r>
    </w:p>
    <w:p>
      <w:pPr>
        <w:spacing w:after="0" w:line="228"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There were no stock options granted during the years ended December 31, 2025, 2024 and 2023. Furthermore, all stock options were fully vested and there was no unrecognized compensation cost remaining for those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(benefit) consisted of the following:</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w:t>
            </w:r>
          </w:p>
        </w:tc>
        <w:tc>
          <w:tcPr>
            <w:tcW w:w="2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6"/>
        </w:trPr>
        <w:tc>
          <w:tcPr>
            <w:tcW w:w="4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2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1,854</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316</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3,180</w:t>
            </w:r>
          </w:p>
        </w:tc>
      </w:tr>
      <w:tr>
        <w:trPr>
          <w:trHeight w:val="257"/>
        </w:trPr>
        <w:tc>
          <w:tcPr>
            <w:tcW w:w="47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2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1,972</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2,551</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(5,060)</w:t>
            </w:r>
          </w:p>
        </w:tc>
      </w:tr>
      <w:tr>
        <w:trPr>
          <w:trHeight w:val="25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 current tax expense (benefit)</w:t>
            </w:r>
          </w:p>
        </w:tc>
        <w:tc>
          <w:tcPr>
            <w:tcW w:w="2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3,826</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2,867</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(1,880)</w:t>
            </w:r>
          </w:p>
        </w:tc>
      </w:tr>
      <w:tr>
        <w:trPr>
          <w:trHeight w:val="128"/>
        </w:trPr>
        <w:tc>
          <w:tcPr>
            <w:tcW w:w="47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2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2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27,486</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10,997</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11,427</w:t>
            </w:r>
          </w:p>
        </w:tc>
      </w:tr>
      <w:tr>
        <w:trPr>
          <w:trHeight w:val="257"/>
        </w:trPr>
        <w:tc>
          <w:tcPr>
            <w:tcW w:w="4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2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9,957</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6,131</w:t>
            </w:r>
          </w:p>
        </w:tc>
      </w:tr>
      <w:tr>
        <w:trPr>
          <w:trHeight w:val="250"/>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deferred expense</w:t>
            </w:r>
          </w:p>
        </w:tc>
        <w:tc>
          <w:tcPr>
            <w:tcW w:w="2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37,443</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10,869</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17,558</w:t>
            </w:r>
          </w:p>
        </w:tc>
      </w:tr>
      <w:tr>
        <w:trPr>
          <w:trHeight w:val="250"/>
        </w:trPr>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Income tax expense</w:t>
            </w:r>
          </w:p>
        </w:tc>
        <w:tc>
          <w:tcPr>
            <w:tcW w:w="2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41,269</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13,736</w:t>
            </w:r>
          </w:p>
        </w:tc>
        <w:tc>
          <w:tcPr>
            <w:tcW w:w="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15,678</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table below presents a reconciliation of the income tax expense at the statutory federal income tax rate to the income tax expense at the effective income tax rate: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00" w:type="dxa"/>
            <w:vAlign w:val="bottom"/>
            <w:tcBorders>
              <w:top w:val="single" w:sz="8" w:color="auto"/>
              <w:bottom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92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90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37,159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21.00 %</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13,664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21.00 %</w:t>
            </w:r>
          </w:p>
        </w:tc>
        <w:tc>
          <w:tcPr>
            <w:tcW w:w="4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11,470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21.00 %</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w w:val="99"/>
              </w:rPr>
              <w:t>State and local income tax, net of federal tax</w:t>
            </w:r>
          </w:p>
        </w:tc>
        <w:tc>
          <w:tcPr>
            <w:tcW w:w="400" w:type="dxa"/>
            <w:vAlign w:val="bottom"/>
          </w:tcPr>
          <w:p>
            <w:pPr>
              <w:spacing w:after="0"/>
              <w:rPr>
                <w:sz w:val="16"/>
                <w:szCs w:val="16"/>
                <w:color w:val="auto"/>
              </w:rPr>
            </w:pPr>
          </w:p>
        </w:tc>
        <w:tc>
          <w:tcPr>
            <w:tcW w:w="1220" w:type="dxa"/>
            <w:vAlign w:val="bottom"/>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9,772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5.52 %</w:t>
            </w:r>
          </w:p>
        </w:tc>
        <w:tc>
          <w:tcPr>
            <w:tcW w:w="420" w:type="dxa"/>
            <w:vAlign w:val="bottom"/>
          </w:tcPr>
          <w:p>
            <w:pPr>
              <w:spacing w:after="0"/>
              <w:rPr>
                <w:sz w:val="16"/>
                <w:szCs w:val="16"/>
                <w:color w:val="auto"/>
              </w:rPr>
            </w:pPr>
          </w:p>
        </w:tc>
        <w:tc>
          <w:tcPr>
            <w:tcW w:w="126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2,392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3.68 %</w:t>
            </w:r>
          </w:p>
        </w:tc>
        <w:tc>
          <w:tcPr>
            <w:tcW w:w="440" w:type="dxa"/>
            <w:vAlign w:val="bottom"/>
          </w:tcPr>
          <w:p>
            <w:pPr>
              <w:spacing w:after="0"/>
              <w:rPr>
                <w:sz w:val="16"/>
                <w:szCs w:val="16"/>
                <w:color w:val="auto"/>
              </w:rPr>
            </w:pPr>
          </w:p>
        </w:tc>
        <w:tc>
          <w:tcPr>
            <w:tcW w:w="124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903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1.65 %</w:t>
            </w:r>
          </w:p>
        </w:tc>
        <w:tc>
          <w:tcPr>
            <w:tcW w:w="0" w:type="dxa"/>
            <w:vAlign w:val="bottom"/>
          </w:tcPr>
          <w:p>
            <w:pPr>
              <w:spacing w:after="0"/>
              <w:rPr>
                <w:sz w:val="1"/>
                <w:szCs w:val="1"/>
                <w:color w:val="auto"/>
              </w:rPr>
            </w:pPr>
          </w:p>
        </w:tc>
      </w:tr>
      <w:tr>
        <w:trPr>
          <w:trHeight w:val="252"/>
        </w:trPr>
        <w:tc>
          <w:tcPr>
            <w:tcW w:w="3580" w:type="dxa"/>
            <w:vAlign w:val="bottom"/>
          </w:tcPr>
          <w:p>
            <w:pPr>
              <w:ind w:left="100"/>
              <w:spacing w:after="0" w:line="252" w:lineRule="exact"/>
              <w:rPr>
                <w:sz w:val="20"/>
                <w:szCs w:val="20"/>
                <w:color w:val="auto"/>
              </w:rPr>
            </w:pPr>
            <w:r>
              <w:rPr>
                <w:rFonts w:ascii="Times New Roman" w:cs="Times New Roman" w:eastAsia="Times New Roman" w:hAnsi="Times New Roman"/>
                <w:sz w:val="20"/>
                <w:szCs w:val="20"/>
                <w:color w:val="auto"/>
              </w:rPr>
              <w:t xml:space="preserve">income effect </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unrecognized tax benefits</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(1,662)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1,779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1,380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2.53 %</w:t>
            </w:r>
          </w:p>
        </w:tc>
        <w:tc>
          <w:tcPr>
            <w:tcW w:w="0" w:type="dxa"/>
            <w:vAlign w:val="bottom"/>
          </w:tcPr>
          <w:p>
            <w:pPr>
              <w:spacing w:after="0"/>
              <w:rPr>
                <w:sz w:val="1"/>
                <w:szCs w:val="1"/>
                <w:color w:val="auto"/>
              </w:rPr>
            </w:pPr>
          </w:p>
        </w:tc>
      </w:tr>
      <w:tr>
        <w:trPr>
          <w:trHeight w:val="257"/>
        </w:trPr>
        <w:tc>
          <w:tcPr>
            <w:tcW w:w="3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Tax credits:</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(4,319)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(5,931)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(9.12)%</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(4,600)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(8.42)%</w:t>
            </w:r>
          </w:p>
        </w:tc>
        <w:tc>
          <w:tcPr>
            <w:tcW w:w="0" w:type="dxa"/>
            <w:vAlign w:val="bottom"/>
          </w:tcPr>
          <w:p>
            <w:pPr>
              <w:spacing w:after="0"/>
              <w:rPr>
                <w:sz w:val="1"/>
                <w:szCs w:val="1"/>
                <w:color w:val="auto"/>
              </w:rPr>
            </w:pPr>
          </w:p>
        </w:tc>
      </w:tr>
      <w:tr>
        <w:trPr>
          <w:trHeight w:val="256"/>
        </w:trPr>
        <w:tc>
          <w:tcPr>
            <w:tcW w:w="3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180"/>
              <w:spacing w:after="0" w:line="193" w:lineRule="exact"/>
              <w:rPr>
                <w:sz w:val="20"/>
                <w:szCs w:val="20"/>
                <w:color w:val="auto"/>
              </w:rPr>
            </w:pPr>
            <w:r>
              <w:rPr>
                <w:rFonts w:ascii="Times New Roman" w:cs="Times New Roman" w:eastAsia="Times New Roman" w:hAnsi="Times New Roman"/>
                <w:sz w:val="20"/>
                <w:szCs w:val="20"/>
                <w:color w:val="auto"/>
              </w:rPr>
              <w:t>(Windfalls) Shortfalls related to equity</w:t>
            </w:r>
          </w:p>
        </w:tc>
        <w:tc>
          <w:tcPr>
            <w:tcW w:w="4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(1,805)</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4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(610)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(0.94)%</w:t>
            </w:r>
          </w:p>
        </w:tc>
        <w:tc>
          <w:tcPr>
            <w:tcW w:w="4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4,280</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7.84 %</w:t>
            </w:r>
          </w:p>
        </w:tc>
        <w:tc>
          <w:tcPr>
            <w:tcW w:w="0" w:type="dxa"/>
            <w:vAlign w:val="bottom"/>
          </w:tcPr>
          <w:p>
            <w:pPr>
              <w:spacing w:after="0"/>
              <w:rPr>
                <w:sz w:val="1"/>
                <w:szCs w:val="1"/>
                <w:color w:val="auto"/>
              </w:rPr>
            </w:pPr>
          </w:p>
        </w:tc>
      </w:tr>
      <w:tr>
        <w:trPr>
          <w:trHeight w:val="252"/>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compensation</w:t>
            </w:r>
          </w:p>
        </w:tc>
        <w:tc>
          <w:tcPr>
            <w:tcW w:w="4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tcPr>
          <w:p>
            <w:pPr>
              <w:ind w:left="180"/>
              <w:spacing w:after="0" w:line="193" w:lineRule="exact"/>
              <w:rPr>
                <w:sz w:val="20"/>
                <w:szCs w:val="20"/>
                <w:color w:val="auto"/>
              </w:rPr>
            </w:pPr>
            <w:r>
              <w:rPr>
                <w:rFonts w:ascii="Times New Roman" w:cs="Times New Roman" w:eastAsia="Times New Roman" w:hAnsi="Times New Roman"/>
                <w:sz w:val="20"/>
                <w:szCs w:val="20"/>
                <w:color w:val="auto"/>
              </w:rPr>
              <w:t>Nondeductible portion of executive</w:t>
            </w:r>
          </w:p>
        </w:tc>
        <w:tc>
          <w:tcPr>
            <w:tcW w:w="400" w:type="dxa"/>
            <w:vAlign w:val="bottom"/>
          </w:tcPr>
          <w:p>
            <w:pPr>
              <w:spacing w:after="0"/>
              <w:rPr>
                <w:sz w:val="16"/>
                <w:szCs w:val="16"/>
                <w:color w:val="auto"/>
              </w:rPr>
            </w:pPr>
          </w:p>
        </w:tc>
        <w:tc>
          <w:tcPr>
            <w:tcW w:w="1220" w:type="dxa"/>
            <w:vAlign w:val="bottom"/>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2,583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1.46 %</w:t>
            </w:r>
          </w:p>
        </w:tc>
        <w:tc>
          <w:tcPr>
            <w:tcW w:w="420" w:type="dxa"/>
            <w:vAlign w:val="bottom"/>
          </w:tcPr>
          <w:p>
            <w:pPr>
              <w:spacing w:after="0"/>
              <w:rPr>
                <w:sz w:val="16"/>
                <w:szCs w:val="16"/>
                <w:color w:val="auto"/>
              </w:rPr>
            </w:pPr>
          </w:p>
        </w:tc>
        <w:tc>
          <w:tcPr>
            <w:tcW w:w="126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3,313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5.09 %</w:t>
            </w:r>
          </w:p>
        </w:tc>
        <w:tc>
          <w:tcPr>
            <w:tcW w:w="440" w:type="dxa"/>
            <w:vAlign w:val="bottom"/>
          </w:tcPr>
          <w:p>
            <w:pPr>
              <w:spacing w:after="0"/>
              <w:rPr>
                <w:sz w:val="16"/>
                <w:szCs w:val="16"/>
                <w:color w:val="auto"/>
              </w:rPr>
            </w:pPr>
          </w:p>
        </w:tc>
        <w:tc>
          <w:tcPr>
            <w:tcW w:w="1240" w:type="dxa"/>
            <w:vAlign w:val="bottom"/>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2,230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4.08 %</w:t>
            </w:r>
          </w:p>
        </w:tc>
        <w:tc>
          <w:tcPr>
            <w:tcW w:w="0" w:type="dxa"/>
            <w:vAlign w:val="bottom"/>
          </w:tcPr>
          <w:p>
            <w:pPr>
              <w:spacing w:after="0"/>
              <w:rPr>
                <w:sz w:val="1"/>
                <w:szCs w:val="1"/>
                <w:color w:val="auto"/>
              </w:rPr>
            </w:pPr>
          </w:p>
        </w:tc>
      </w:tr>
      <w:tr>
        <w:trPr>
          <w:trHeight w:val="252"/>
        </w:trPr>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compensation</w:t>
            </w:r>
          </w:p>
        </w:tc>
        <w:tc>
          <w:tcPr>
            <w:tcW w:w="4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0.01 %</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(141)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257"/>
        </w:trPr>
        <w:tc>
          <w:tcPr>
            <w:tcW w:w="3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adjustments:</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Benefit from intraperiod tax allocation</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(481)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(868)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156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0.29 %</w:t>
            </w:r>
          </w:p>
        </w:tc>
        <w:tc>
          <w:tcPr>
            <w:tcW w:w="0" w:type="dxa"/>
            <w:vAlign w:val="bottom"/>
          </w:tcPr>
          <w:p>
            <w:pPr>
              <w:spacing w:after="0"/>
              <w:rPr>
                <w:sz w:val="1"/>
                <w:szCs w:val="1"/>
                <w:color w:val="auto"/>
              </w:rPr>
            </w:pPr>
          </w:p>
        </w:tc>
      </w:tr>
      <w:tr>
        <w:trPr>
          <w:trHeight w:val="275"/>
        </w:trPr>
        <w:tc>
          <w:tcPr>
            <w:tcW w:w="3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41,269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23.32 %</w:t>
            </w:r>
          </w:p>
        </w:tc>
        <w:tc>
          <w:tcPr>
            <w:tcW w:w="4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13,736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21.11 %</w:t>
            </w:r>
          </w:p>
        </w:tc>
        <w:tc>
          <w:tcPr>
            <w:tcW w:w="4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rPr>
              <w:t>15,678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28.71 %</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160" w:hanging="332"/>
        <w:spacing w:after="0" w:line="221" w:lineRule="auto"/>
        <w:tabs>
          <w:tab w:leader="none" w:pos="294"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states that contribute to the majority (greater than 50%) of the tax effect in this category include California, Illinois, New Jersey and New York for 2025; California, Illinois, Massachusetts, New Jersey and New York for 2024; and California for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paid for income taxes, net of refunds,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9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780" w:type="dxa"/>
            <w:vAlign w:val="bottom"/>
            <w:tcBorders>
              <w:top w:val="single" w:sz="8" w:color="auto"/>
              <w:bottom w:val="single" w:sz="8" w:color="auto"/>
            </w:tcBorders>
          </w:tcPr>
          <w:p>
            <w:pPr>
              <w:spacing w:after="0"/>
              <w:rPr>
                <w:sz w:val="23"/>
                <w:szCs w:val="23"/>
                <w:color w:val="auto"/>
              </w:rPr>
            </w:pPr>
          </w:p>
        </w:tc>
        <w:tc>
          <w:tcPr>
            <w:tcW w:w="16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76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Federal</w:t>
            </w:r>
          </w:p>
        </w:tc>
        <w:tc>
          <w:tcPr>
            <w:tcW w:w="1980" w:type="dxa"/>
            <w:vAlign w:val="bottom"/>
            <w:tcBorders>
              <w:bottom w:val="single" w:sz="8" w:color="auto"/>
            </w:tcBorders>
            <w:shd w:val="clear" w:color="auto" w:fill="CCEEFF"/>
          </w:tcPr>
          <w:p>
            <w:pPr>
              <w:jc w:val="right"/>
              <w:ind w:right="130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1,950</w:t>
            </w:r>
          </w:p>
        </w:tc>
        <w:tc>
          <w:tcPr>
            <w:tcW w:w="1620" w:type="dxa"/>
            <w:vAlign w:val="bottom"/>
            <w:tcBorders>
              <w:bottom w:val="single" w:sz="8" w:color="auto"/>
            </w:tcBorders>
            <w:shd w:val="clear" w:color="auto" w:fill="CCEEFF"/>
          </w:tcPr>
          <w:p>
            <w:pPr>
              <w:jc w:val="right"/>
              <w:ind w:right="134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1,625</w:t>
            </w: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w:t>
            </w:r>
          </w:p>
        </w:tc>
        <w:tc>
          <w:tcPr>
            <w:tcW w:w="1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5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Illinois</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1,406</w:t>
            </w:r>
          </w:p>
        </w:tc>
      </w:tr>
      <w:tr>
        <w:trPr>
          <w:trHeight w:val="257"/>
        </w:trPr>
        <w:tc>
          <w:tcPr>
            <w:tcW w:w="3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New Jersey</w:t>
            </w:r>
          </w:p>
        </w:tc>
        <w:tc>
          <w:tcPr>
            <w:tcW w:w="19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Georgia</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591</w:t>
            </w:r>
          </w:p>
        </w:tc>
      </w:tr>
      <w:tr>
        <w:trPr>
          <w:trHeight w:val="256"/>
        </w:trPr>
        <w:tc>
          <w:tcPr>
            <w:tcW w:w="3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New York</w:t>
            </w:r>
          </w:p>
        </w:tc>
        <w:tc>
          <w:tcPr>
            <w:tcW w:w="198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185</w:t>
            </w:r>
          </w:p>
        </w:tc>
        <w:tc>
          <w:tcPr>
            <w:tcW w:w="162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124</w:t>
            </w:r>
          </w:p>
        </w:tc>
        <w:tc>
          <w:tcPr>
            <w:tcW w:w="5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New York MCTD</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3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Texas</w:t>
            </w:r>
          </w:p>
        </w:tc>
        <w:tc>
          <w:tcPr>
            <w:tcW w:w="198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380</w:t>
            </w:r>
          </w:p>
        </w:tc>
        <w:tc>
          <w:tcPr>
            <w:tcW w:w="162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132</w:t>
            </w:r>
          </w:p>
        </w:tc>
        <w:tc>
          <w:tcPr>
            <w:tcW w:w="5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New York City</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119</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3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Oregon</w:t>
            </w:r>
          </w:p>
        </w:tc>
        <w:tc>
          <w:tcPr>
            <w:tcW w:w="19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96</w:t>
            </w:r>
          </w:p>
        </w:tc>
        <w:tc>
          <w:tcPr>
            <w:tcW w:w="5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Pennsylvania</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15</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3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Utah</w:t>
            </w:r>
          </w:p>
        </w:tc>
        <w:tc>
          <w:tcPr>
            <w:tcW w:w="19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5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Colorado</w:t>
            </w:r>
          </w:p>
        </w:tc>
        <w:tc>
          <w:tcPr>
            <w:tcW w:w="19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5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19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862</w:t>
            </w:r>
          </w:p>
        </w:tc>
        <w:tc>
          <w:tcPr>
            <w:tcW w:w="16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5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2,507</w:t>
            </w:r>
          </w:p>
        </w:tc>
      </w:tr>
      <w:tr>
        <w:trPr>
          <w:trHeight w:val="250"/>
        </w:trPr>
        <w:tc>
          <w:tcPr>
            <w:tcW w:w="3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20"/>
                <w:szCs w:val="20"/>
                <w:color w:val="auto"/>
              </w:rPr>
              <w:t>Total State</w:t>
            </w:r>
          </w:p>
        </w:tc>
        <w:tc>
          <w:tcPr>
            <w:tcW w:w="19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1,427</w:t>
            </w:r>
          </w:p>
        </w:tc>
        <w:tc>
          <w:tcPr>
            <w:tcW w:w="16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275</w:t>
            </w:r>
          </w:p>
        </w:tc>
        <w:tc>
          <w:tcPr>
            <w:tcW w:w="5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5,006</w:t>
            </w:r>
          </w:p>
        </w:tc>
      </w:tr>
      <w:tr>
        <w:trPr>
          <w:trHeight w:val="250"/>
        </w:trPr>
        <w:tc>
          <w:tcPr>
            <w:tcW w:w="3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Income taxes, net of amounts refunded</w:t>
            </w:r>
          </w:p>
        </w:tc>
        <w:tc>
          <w:tcPr>
            <w:tcW w:w="1980" w:type="dxa"/>
            <w:vAlign w:val="bottom"/>
            <w:tcBorders>
              <w:bottom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3,377</w:t>
            </w:r>
          </w:p>
        </w:tc>
        <w:tc>
          <w:tcPr>
            <w:tcW w:w="16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275</w:t>
            </w:r>
          </w:p>
        </w:tc>
        <w:tc>
          <w:tcPr>
            <w:tcW w:w="5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6,631</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income taxes paid during the year does not meet the 5% disaggregation threshold and is included in “Other.”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1"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components of the Company’s net deferred tax assets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94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9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6"/>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Allowance for loan and lease losses</w:t>
            </w:r>
          </w:p>
        </w:tc>
        <w:tc>
          <w:tcPr>
            <w:tcW w:w="2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67,876</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64,925</w:t>
            </w: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9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40,327</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54,981</w:t>
            </w: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credit carryforwards</w:t>
            </w:r>
          </w:p>
        </w:tc>
        <w:tc>
          <w:tcPr>
            <w:tcW w:w="294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34,706</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31,416</w:t>
            </w: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Reserves and accruals</w:t>
            </w:r>
          </w:p>
        </w:tc>
        <w:tc>
          <w:tcPr>
            <w:tcW w:w="29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13,584</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13,699</w:t>
            </w:r>
          </w:p>
        </w:tc>
      </w:tr>
      <w:tr>
        <w:trPr>
          <w:trHeight w:val="256"/>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Deferred compensation</w:t>
            </w:r>
          </w:p>
        </w:tc>
        <w:tc>
          <w:tcPr>
            <w:tcW w:w="294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7,862</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9,862</w:t>
            </w: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Goodwill</w:t>
            </w:r>
          </w:p>
        </w:tc>
        <w:tc>
          <w:tcPr>
            <w:tcW w:w="29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5,671</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8,244</w:t>
            </w: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Unrealized loss on AFS securities</w:t>
            </w:r>
          </w:p>
        </w:tc>
        <w:tc>
          <w:tcPr>
            <w:tcW w:w="294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5,545</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w:t>
            </w: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9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3,818</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7,649</w:t>
            </w: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Stock-based compensation</w:t>
            </w:r>
          </w:p>
        </w:tc>
        <w:tc>
          <w:tcPr>
            <w:tcW w:w="294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3,279</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w:t>
            </w:r>
          </w:p>
        </w:tc>
      </w:tr>
      <w:tr>
        <w:trPr>
          <w:trHeight w:val="256"/>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29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2,892</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3,187</w:t>
            </w:r>
          </w:p>
        </w:tc>
      </w:tr>
      <w:tr>
        <w:trPr>
          <w:trHeight w:val="250"/>
        </w:trPr>
        <w:tc>
          <w:tcPr>
            <w:tcW w:w="5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9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185,560</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207,908</w:t>
            </w:r>
          </w:p>
        </w:tc>
      </w:tr>
      <w:tr>
        <w:trPr>
          <w:trHeight w:val="250"/>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Valuation allowance</w:t>
            </w:r>
          </w:p>
        </w:tc>
        <w:tc>
          <w:tcPr>
            <w:tcW w:w="29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(48,047)</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(46,325)</w:t>
            </w:r>
          </w:p>
        </w:tc>
      </w:tr>
      <w:tr>
        <w:trPr>
          <w:trHeight w:val="250"/>
        </w:trPr>
        <w:tc>
          <w:tcPr>
            <w:tcW w:w="5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9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137,513</w:t>
            </w:r>
          </w:p>
        </w:tc>
        <w:tc>
          <w:tcPr>
            <w:tcW w:w="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161,583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6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Internally-developed software</w:t>
            </w:r>
          </w:p>
        </w:tc>
        <w:tc>
          <w:tcPr>
            <w:tcW w:w="29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(27,634)</w:t>
            </w:r>
          </w:p>
        </w:tc>
        <w:tc>
          <w:tcPr>
            <w:tcW w:w="3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(5,280)</w:t>
            </w: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Leases</w:t>
            </w:r>
          </w:p>
        </w:tc>
        <w:tc>
          <w:tcPr>
            <w:tcW w:w="29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(7,817)</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(11,283)</w:t>
            </w: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Operating lease assets</w:t>
            </w:r>
          </w:p>
        </w:tc>
        <w:tc>
          <w:tcPr>
            <w:tcW w:w="29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(3,122)</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(5,717)</w:t>
            </w: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Servicing assets</w:t>
            </w:r>
          </w:p>
        </w:tc>
        <w:tc>
          <w:tcPr>
            <w:tcW w:w="29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w:t>
            </w:r>
          </w:p>
        </w:tc>
      </w:tr>
      <w:tr>
        <w:trPr>
          <w:trHeight w:val="256"/>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w:t>
            </w:r>
          </w:p>
        </w:tc>
        <w:tc>
          <w:tcPr>
            <w:tcW w:w="29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w:t>
            </w:r>
          </w:p>
        </w:tc>
      </w:tr>
      <w:tr>
        <w:trPr>
          <w:trHeight w:val="250"/>
        </w:trPr>
        <w:tc>
          <w:tcPr>
            <w:tcW w:w="5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9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(41,354)</w:t>
            </w:r>
          </w:p>
        </w:tc>
        <w:tc>
          <w:tcPr>
            <w:tcW w:w="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(24,428)</w:t>
            </w:r>
          </w:p>
        </w:tc>
      </w:tr>
      <w:tr>
        <w:trPr>
          <w:trHeight w:val="275"/>
        </w:trPr>
        <w:tc>
          <w:tcPr>
            <w:tcW w:w="56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Deferred tax assets, net</w:t>
            </w:r>
          </w:p>
        </w:tc>
        <w:tc>
          <w:tcPr>
            <w:tcW w:w="29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96,159</w:t>
            </w:r>
          </w:p>
        </w:tc>
        <w:tc>
          <w:tcPr>
            <w:tcW w:w="3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137,155</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As of December 31, 2025 and 2024, the Company maintained a valuation allowance of $48.0 million and $46.3 million, respectively, solely related to certain state net operating loss carryforwards (NOLs) and state tax credit carryforwards.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provides information about the Company’s NOLs and tax credit carryforwards by jurisdiction: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tcBorders>
              <w:top w:val="single" w:sz="8" w:color="auto"/>
              <w:bottom w:val="single" w:sz="8" w:color="auto"/>
            </w:tcBorders>
          </w:tcPr>
          <w:p>
            <w:pPr>
              <w:spacing w:after="0"/>
              <w:rPr>
                <w:sz w:val="23"/>
                <w:szCs w:val="23"/>
                <w:color w:val="auto"/>
              </w:rPr>
            </w:pPr>
          </w:p>
        </w:tc>
        <w:tc>
          <w:tcPr>
            <w:tcW w:w="1760" w:type="dxa"/>
            <w:vAlign w:val="bottom"/>
            <w:tcBorders>
              <w:top w:val="single" w:sz="8" w:color="auto"/>
              <w:bottom w:val="single" w:sz="8" w:color="auto"/>
            </w:tcBorders>
          </w:tcPr>
          <w:p>
            <w:pPr>
              <w:spacing w:after="0"/>
              <w:rPr>
                <w:sz w:val="23"/>
                <w:szCs w:val="23"/>
                <w:color w:val="auto"/>
              </w:rPr>
            </w:pPr>
          </w:p>
        </w:tc>
        <w:tc>
          <w:tcPr>
            <w:tcW w:w="23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920" w:type="dxa"/>
            <w:vAlign w:val="bottom"/>
            <w:tcBorders>
              <w:top w:val="single" w:sz="8" w:color="auto"/>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Expiration</w:t>
            </w:r>
          </w:p>
        </w:tc>
      </w:tr>
      <w:tr>
        <w:trPr>
          <w:trHeight w:val="250"/>
        </w:trPr>
        <w:tc>
          <w:tcPr>
            <w:tcW w:w="52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Tax loss carryforwards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176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7"/>
        </w:trPr>
        <w:tc>
          <w:tcPr>
            <w:tcW w:w="5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operating loss – federal</w:t>
            </w:r>
          </w:p>
        </w:tc>
        <w:tc>
          <w:tcPr>
            <w:tcW w:w="1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7"/>
              </w:rPr>
              <w:t>Indefinite</w:t>
            </w:r>
          </w:p>
        </w:tc>
      </w:tr>
      <w:tr>
        <w:trPr>
          <w:trHeight w:val="256"/>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Net operating loss – state</w:t>
            </w:r>
          </w:p>
        </w:tc>
        <w:tc>
          <w:tcPr>
            <w:tcW w:w="1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483,357</w:t>
            </w:r>
          </w:p>
        </w:tc>
        <w:tc>
          <w:tcPr>
            <w:tcW w:w="192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20"/>
                <w:szCs w:val="20"/>
                <w:color w:val="auto"/>
                <w:w w:val="99"/>
              </w:rPr>
              <w:t>2030 - 2042</w:t>
            </w:r>
          </w:p>
        </w:tc>
      </w:tr>
      <w:tr>
        <w:trPr>
          <w:trHeight w:val="257"/>
        </w:trPr>
        <w:tc>
          <w:tcPr>
            <w:tcW w:w="5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operating loss – state</w:t>
            </w:r>
          </w:p>
        </w:tc>
        <w:tc>
          <w:tcPr>
            <w:tcW w:w="1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41,195</w:t>
            </w:r>
          </w:p>
        </w:tc>
        <w:tc>
          <w:tcPr>
            <w:tcW w:w="19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7"/>
              </w:rPr>
              <w:t>Indefinite</w:t>
            </w:r>
          </w:p>
        </w:tc>
      </w:tr>
      <w:tr>
        <w:trPr>
          <w:trHeight w:val="162"/>
        </w:trPr>
        <w:tc>
          <w:tcPr>
            <w:tcW w:w="5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r>
      <w:tr>
        <w:trPr>
          <w:trHeight w:val="257"/>
        </w:trPr>
        <w:tc>
          <w:tcPr>
            <w:tcW w:w="524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Tax credit carryforwards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tc>
        <w:tc>
          <w:tcPr>
            <w:tcW w:w="17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 credits – federal</w:t>
            </w:r>
          </w:p>
        </w:tc>
        <w:tc>
          <w:tcPr>
            <w:tcW w:w="1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20"/>
                <w:szCs w:val="20"/>
                <w:color w:val="auto"/>
              </w:rPr>
              <w:t>35,542</w:t>
            </w:r>
          </w:p>
        </w:tc>
        <w:tc>
          <w:tcPr>
            <w:tcW w:w="192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20"/>
                <w:szCs w:val="20"/>
                <w:color w:val="auto"/>
                <w:w w:val="99"/>
              </w:rPr>
              <w:t>2037 - 2045</w:t>
            </w:r>
          </w:p>
        </w:tc>
      </w:tr>
      <w:tr>
        <w:trPr>
          <w:trHeight w:val="256"/>
        </w:trPr>
        <w:tc>
          <w:tcPr>
            <w:tcW w:w="5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Research and development credits – state</w:t>
            </w:r>
          </w:p>
        </w:tc>
        <w:tc>
          <w:tcPr>
            <w:tcW w:w="1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3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22,545</w:t>
            </w:r>
          </w:p>
        </w:tc>
        <w:tc>
          <w:tcPr>
            <w:tcW w:w="19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7"/>
              </w:rPr>
              <w:t>Indefinite</w:t>
            </w:r>
          </w:p>
        </w:tc>
      </w:tr>
    </w:tbl>
    <w:p>
      <w:pPr>
        <w:spacing w:after="0" w:line="85" w:lineRule="exact"/>
        <w:rPr>
          <w:sz w:val="20"/>
          <w:szCs w:val="20"/>
          <w:color w:val="auto"/>
        </w:rPr>
      </w:pPr>
    </w:p>
    <w:p>
      <w:pPr>
        <w:ind w:left="280" w:hanging="272"/>
        <w:spacing w:after="0"/>
        <w:tabs>
          <w:tab w:leader="none" w:pos="280" w:val="left"/>
        </w:tabs>
        <w:numPr>
          <w:ilvl w:val="0"/>
          <w:numId w:val="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carryforwards, net of the valuation allowance for certain states, are expected to be fully utilized prior to expiration.</w:t>
      </w:r>
    </w:p>
    <w:p>
      <w:pPr>
        <w:spacing w:after="0" w:line="200" w:lineRule="exact"/>
        <w:rPr>
          <w:rFonts w:ascii="Times New Roman" w:cs="Times New Roman" w:eastAsia="Times New Roman" w:hAnsi="Times New Roman"/>
          <w:sz w:val="26"/>
          <w:szCs w:val="26"/>
          <w:color w:val="auto"/>
          <w:vertAlign w:val="superscript"/>
        </w:rPr>
      </w:pPr>
    </w:p>
    <w:p>
      <w:pPr>
        <w:spacing w:after="0" w:line="369" w:lineRule="exact"/>
        <w:rPr>
          <w:rFonts w:ascii="Times New Roman" w:cs="Times New Roman" w:eastAsia="Times New Roman" w:hAnsi="Times New Roman"/>
          <w:sz w:val="26"/>
          <w:szCs w:val="26"/>
          <w:color w:val="auto"/>
          <w:vertAlign w:val="superscript"/>
        </w:rPr>
      </w:pPr>
    </w:p>
    <w:p>
      <w:pPr>
        <w:ind w:left="54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a reconciliation of total unrecognized tax benefits: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Unrecognized tax benefits at beginning of year</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33,073</w:t>
            </w:r>
          </w:p>
        </w:tc>
        <w:tc>
          <w:tcPr>
            <w:tcW w:w="3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30,062</w:t>
            </w:r>
          </w:p>
        </w:tc>
        <w:tc>
          <w:tcPr>
            <w:tcW w:w="4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27,850</w:t>
            </w:r>
          </w:p>
        </w:tc>
      </w:tr>
      <w:tr>
        <w:trPr>
          <w:trHeight w:val="257"/>
        </w:trPr>
        <w:tc>
          <w:tcPr>
            <w:tcW w:w="58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Gross increase (decrease) – tax positions related to prior years</w:t>
            </w:r>
          </w:p>
        </w:tc>
        <w:tc>
          <w:tcPr>
            <w:tcW w:w="1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(6,195)</w:t>
            </w:r>
          </w:p>
        </w:tc>
        <w:tc>
          <w:tcPr>
            <w:tcW w:w="38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671</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57"/>
        </w:trPr>
        <w:tc>
          <w:tcPr>
            <w:tcW w:w="5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Gross increase – tax positions related to current year</w:t>
            </w:r>
          </w:p>
        </w:tc>
        <w:tc>
          <w:tcPr>
            <w:tcW w:w="1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2,310</w:t>
            </w: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2,340</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2,373</w:t>
            </w:r>
          </w:p>
        </w:tc>
      </w:tr>
      <w:tr>
        <w:trPr>
          <w:trHeight w:val="25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Unrecognized tax benefits at end of year</w:t>
            </w: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29,188</w:t>
            </w:r>
          </w:p>
        </w:tc>
        <w:tc>
          <w:tcPr>
            <w:tcW w:w="3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33,073</w:t>
            </w: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30,062</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As of December 31, 2025 and 2024, $20.7 million and $22.4 million, respectively, of unrecognized tax benefits, if recognized, would impact the Company’s effective tax rate. The Company had $0.4 million accrued for the payment of interest and penalties related to unrecognized tax benefits as of December 31, 2025 and 2024.</w:t>
      </w:r>
    </w:p>
    <w:p>
      <w:pPr>
        <w:spacing w:after="0" w:line="2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Company files income tax returns in the United States and various state jurisdictions. As of December 31, 2025, the Company’s federal tax returns for 2021 and earlier, and state tax returns for 2020 and earlier were no longer subject to examination by the taxing authorities. However, tax credit carryforwards from closed periods may be subject to audit and re-examination by tax authorities when utilized in subsequent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Arrangements</w:t>
      </w:r>
    </w:p>
    <w:p>
      <w:pPr>
        <w:spacing w:after="0" w:line="2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has various operating leases, including with respect to its headquarters in San Francisco, California, and office spaces in the Salt Lake City, Utah area, Boston, Massachusetts, and New York, New York. In April 2025, the Company acquired an office building located in San Francisco, California, which will be used as its headquarters beginning in the second quarter of 2026, following the expiration of its current San Francisco lease. As of December 31, 2025, the remaining leases have lease terms ranging from approximately two to three years. As of December 31, 2025, the Company pledged $0.5 million of cash and $1.1 million in letters of credit as security deposits in connection with its lease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information related to leases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ROU Assets and Lease Liabilities</w:t>
            </w:r>
          </w:p>
        </w:tc>
        <w:tc>
          <w:tcPr>
            <w:tcW w:w="30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Balance Sheet Classification</w:t>
            </w:r>
          </w:p>
        </w:tc>
        <w:tc>
          <w:tcPr>
            <w:tcW w:w="540" w:type="dxa"/>
            <w:vAlign w:val="bottom"/>
            <w:tcBorders>
              <w:top w:val="single" w:sz="8" w:color="auto"/>
              <w:bottom w:val="single" w:sz="8" w:color="auto"/>
            </w:tcBorders>
          </w:tcPr>
          <w:p>
            <w:pPr>
              <w:spacing w:after="0"/>
              <w:rPr>
                <w:sz w:val="23"/>
                <w:szCs w:val="23"/>
                <w:color w:val="auto"/>
              </w:rPr>
            </w:pPr>
          </w:p>
        </w:tc>
        <w:tc>
          <w:tcPr>
            <w:tcW w:w="208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80" w:type="dxa"/>
            <w:vAlign w:val="bottom"/>
            <w:tcBorders>
              <w:top w:val="single" w:sz="8" w:color="auto"/>
              <w:bottom w:val="single" w:sz="8" w:color="auto"/>
            </w:tcBorders>
          </w:tcPr>
          <w:p>
            <w:pPr>
              <w:spacing w:after="0"/>
              <w:rPr>
                <w:sz w:val="23"/>
                <w:szCs w:val="23"/>
                <w:color w:val="auto"/>
              </w:rPr>
            </w:pPr>
          </w:p>
        </w:tc>
        <w:tc>
          <w:tcPr>
            <w:tcW w:w="210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assets</w:t>
            </w:r>
          </w:p>
        </w:tc>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Other assets</w:t>
            </w:r>
          </w:p>
        </w:tc>
        <w:tc>
          <w:tcPr>
            <w:tcW w:w="5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12,942</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21,304</w:t>
            </w:r>
          </w:p>
        </w:tc>
      </w:tr>
      <w:tr>
        <w:trPr>
          <w:trHeight w:val="257"/>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liabilities</w:t>
            </w:r>
          </w:p>
        </w:tc>
        <w:tc>
          <w:tcPr>
            <w:tcW w:w="5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15,826</w:t>
            </w:r>
          </w:p>
        </w:tc>
        <w:tc>
          <w:tcPr>
            <w:tcW w:w="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28,502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lease costs were $10.9 million, $10.5 million and $12.0 million during the years ended December 31, 2025, 2024 and 2023,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costs are recorded within “Occupancy” expense on the Income Statement.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the Company’s operating leases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6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Non-cash activity:</w:t>
            </w:r>
          </w:p>
        </w:tc>
        <w:tc>
          <w:tcPr>
            <w:tcW w:w="15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20" w:type="dxa"/>
            <w:vAlign w:val="bottom"/>
          </w:tcPr>
          <w:p>
            <w:pPr>
              <w:ind w:left="220"/>
              <w:spacing w:after="0" w:line="193" w:lineRule="exact"/>
              <w:rPr>
                <w:sz w:val="20"/>
                <w:szCs w:val="20"/>
                <w:color w:val="auto"/>
              </w:rPr>
            </w:pPr>
            <w:r>
              <w:rPr>
                <w:rFonts w:ascii="Times New Roman" w:cs="Times New Roman" w:eastAsia="Times New Roman" w:hAnsi="Times New Roman"/>
                <w:sz w:val="20"/>
                <w:szCs w:val="20"/>
                <w:color w:val="auto"/>
              </w:rPr>
              <w:t>Leased assets remeasured resulting from new, amended or modified</w:t>
            </w:r>
          </w:p>
        </w:tc>
        <w:tc>
          <w:tcPr>
            <w:tcW w:w="1520" w:type="dxa"/>
            <w:vAlign w:val="bottom"/>
            <w:vMerge w:val="restart"/>
          </w:tcPr>
          <w:p>
            <w:pPr>
              <w:jc w:val="right"/>
              <w:ind w:right="100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vMerge w:val="restart"/>
          </w:tcPr>
          <w:p>
            <w:pPr>
              <w:jc w:val="right"/>
              <w:ind w:right="881"/>
              <w:spacing w:after="0"/>
              <w:rPr>
                <w:sz w:val="20"/>
                <w:szCs w:val="20"/>
                <w:color w:val="auto"/>
              </w:rPr>
            </w:pPr>
            <w:r>
              <w:rPr>
                <w:rFonts w:ascii="Times New Roman" w:cs="Times New Roman" w:eastAsia="Times New Roman" w:hAnsi="Times New Roman"/>
                <w:sz w:val="20"/>
                <w:szCs w:val="20"/>
                <w:color w:val="auto"/>
              </w:rPr>
              <w:t>—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40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(29,745)</w:t>
            </w:r>
          </w:p>
        </w:tc>
        <w:tc>
          <w:tcPr>
            <w:tcW w:w="0" w:type="dxa"/>
            <w:vAlign w:val="bottom"/>
          </w:tcPr>
          <w:p>
            <w:pPr>
              <w:spacing w:after="0"/>
              <w:rPr>
                <w:sz w:val="1"/>
                <w:szCs w:val="1"/>
                <w:color w:val="auto"/>
              </w:rPr>
            </w:pPr>
          </w:p>
        </w:tc>
      </w:tr>
      <w:tr>
        <w:trPr>
          <w:trHeight w:val="252"/>
        </w:trPr>
        <w:tc>
          <w:tcPr>
            <w:tcW w:w="5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52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future minimum undiscounted lease payments under operating leases as of December 31, 2025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181"/>
              <w:spacing w:after="0" w:line="203" w:lineRule="exact"/>
              <w:rPr>
                <w:sz w:val="20"/>
                <w:szCs w:val="20"/>
                <w:color w:val="auto"/>
              </w:rPr>
            </w:pPr>
            <w:r>
              <w:rPr>
                <w:rFonts w:ascii="Times New Roman" w:cs="Times New Roman" w:eastAsia="Times New Roman" w:hAnsi="Times New Roman"/>
                <w:sz w:val="20"/>
                <w:szCs w:val="20"/>
                <w:b w:val="1"/>
                <w:bCs w:val="1"/>
                <w:color w:val="auto"/>
              </w:rPr>
              <w:t>Operating Lease</w:t>
            </w:r>
          </w:p>
        </w:tc>
      </w:tr>
      <w:tr>
        <w:trPr>
          <w:trHeight w:val="256"/>
        </w:trPr>
        <w:tc>
          <w:tcPr>
            <w:tcW w:w="66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Payments</w:t>
            </w:r>
          </w:p>
        </w:tc>
      </w:tr>
      <w:tr>
        <w:trPr>
          <w:trHeight w:val="250"/>
        </w:trPr>
        <w:tc>
          <w:tcPr>
            <w:tcW w:w="6640" w:type="dxa"/>
            <w:vAlign w:val="bottom"/>
            <w:shd w:val="clear" w:color="auto" w:fill="CCEEFF"/>
          </w:tcPr>
          <w:p>
            <w:pPr>
              <w:jc w:val="right"/>
              <w:ind w:right="6121"/>
              <w:spacing w:after="0"/>
              <w:rPr>
                <w:sz w:val="20"/>
                <w:szCs w:val="20"/>
                <w:color w:val="auto"/>
              </w:rPr>
            </w:pPr>
            <w:r>
              <w:rPr>
                <w:rFonts w:ascii="Times New Roman" w:cs="Times New Roman" w:eastAsia="Times New Roman" w:hAnsi="Times New Roman"/>
                <w:sz w:val="20"/>
                <w:szCs w:val="20"/>
                <w:color w:val="auto"/>
                <w:w w:val="99"/>
              </w:rPr>
              <w:t>2026</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7,973</w:t>
            </w:r>
          </w:p>
        </w:tc>
      </w:tr>
      <w:tr>
        <w:trPr>
          <w:trHeight w:val="257"/>
        </w:trPr>
        <w:tc>
          <w:tcPr>
            <w:tcW w:w="6640" w:type="dxa"/>
            <w:vAlign w:val="bottom"/>
          </w:tcPr>
          <w:p>
            <w:pPr>
              <w:jc w:val="right"/>
              <w:ind w:right="6121"/>
              <w:spacing w:after="0"/>
              <w:rPr>
                <w:sz w:val="20"/>
                <w:szCs w:val="20"/>
                <w:color w:val="auto"/>
              </w:rPr>
            </w:pPr>
            <w:r>
              <w:rPr>
                <w:rFonts w:ascii="Times New Roman" w:cs="Times New Roman" w:eastAsia="Times New Roman" w:hAnsi="Times New Roman"/>
                <w:sz w:val="20"/>
                <w:szCs w:val="20"/>
                <w:color w:val="auto"/>
                <w:w w:val="99"/>
              </w:rPr>
              <w:t>2027</w:t>
            </w:r>
          </w:p>
        </w:tc>
        <w:tc>
          <w:tcPr>
            <w:tcW w:w="28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w:t>
            </w:r>
          </w:p>
        </w:tc>
      </w:tr>
      <w:tr>
        <w:trPr>
          <w:trHeight w:val="257"/>
        </w:trPr>
        <w:tc>
          <w:tcPr>
            <w:tcW w:w="6640" w:type="dxa"/>
            <w:vAlign w:val="bottom"/>
            <w:shd w:val="clear" w:color="auto" w:fill="CCEEFF"/>
          </w:tcPr>
          <w:p>
            <w:pPr>
              <w:jc w:val="right"/>
              <w:ind w:right="6121"/>
              <w:spacing w:after="0"/>
              <w:rPr>
                <w:sz w:val="20"/>
                <w:szCs w:val="20"/>
                <w:color w:val="auto"/>
              </w:rPr>
            </w:pPr>
            <w:r>
              <w:rPr>
                <w:rFonts w:ascii="Times New Roman" w:cs="Times New Roman" w:eastAsia="Times New Roman" w:hAnsi="Times New Roman"/>
                <w:sz w:val="20"/>
                <w:szCs w:val="20"/>
                <w:color w:val="auto"/>
                <w:w w:val="99"/>
              </w:rPr>
              <w:t>2028</w:t>
            </w:r>
          </w:p>
        </w:tc>
        <w:tc>
          <w:tcPr>
            <w:tcW w:w="28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4,046</w:t>
            </w:r>
          </w:p>
        </w:tc>
      </w:tr>
      <w:tr>
        <w:trPr>
          <w:trHeight w:val="257"/>
        </w:trPr>
        <w:tc>
          <w:tcPr>
            <w:tcW w:w="6640" w:type="dxa"/>
            <w:vAlign w:val="bottom"/>
          </w:tcPr>
          <w:p>
            <w:pPr>
              <w:jc w:val="right"/>
              <w:ind w:right="6121"/>
              <w:spacing w:after="0"/>
              <w:rPr>
                <w:sz w:val="20"/>
                <w:szCs w:val="20"/>
                <w:color w:val="auto"/>
              </w:rPr>
            </w:pPr>
            <w:r>
              <w:rPr>
                <w:rFonts w:ascii="Times New Roman" w:cs="Times New Roman" w:eastAsia="Times New Roman" w:hAnsi="Times New Roman"/>
                <w:sz w:val="20"/>
                <w:szCs w:val="20"/>
                <w:color w:val="auto"/>
                <w:w w:val="99"/>
              </w:rPr>
              <w:t>2029</w:t>
            </w:r>
          </w:p>
        </w:tc>
        <w:tc>
          <w:tcPr>
            <w:tcW w:w="28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w:t>
            </w:r>
          </w:p>
        </w:tc>
      </w:tr>
      <w:tr>
        <w:trPr>
          <w:trHeight w:val="256"/>
        </w:trPr>
        <w:tc>
          <w:tcPr>
            <w:tcW w:w="6640" w:type="dxa"/>
            <w:vAlign w:val="bottom"/>
            <w:tcBorders>
              <w:bottom w:val="single" w:sz="8" w:color="auto"/>
            </w:tcBorders>
            <w:shd w:val="clear" w:color="auto" w:fill="CCEEFF"/>
          </w:tcPr>
          <w:p>
            <w:pPr>
              <w:jc w:val="right"/>
              <w:ind w:right="6121"/>
              <w:spacing w:after="0"/>
              <w:rPr>
                <w:sz w:val="20"/>
                <w:szCs w:val="20"/>
                <w:color w:val="auto"/>
              </w:rPr>
            </w:pPr>
            <w:r>
              <w:rPr>
                <w:rFonts w:ascii="Times New Roman" w:cs="Times New Roman" w:eastAsia="Times New Roman" w:hAnsi="Times New Roman"/>
                <w:sz w:val="20"/>
                <w:szCs w:val="20"/>
                <w:color w:val="auto"/>
                <w:w w:val="99"/>
              </w:rPr>
              <w:t>2030</w:t>
            </w:r>
          </w:p>
        </w:tc>
        <w:tc>
          <w:tcPr>
            <w:tcW w:w="28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Total lease payments</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17,938</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1"/>
        </w:trPr>
        <w:tc>
          <w:tcPr>
            <w:tcW w:w="6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Discount effect</w:t>
            </w:r>
          </w:p>
        </w:tc>
        <w:tc>
          <w:tcPr>
            <w:tcW w:w="28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(2,112)</w:t>
            </w:r>
          </w:p>
        </w:tc>
      </w:tr>
      <w:tr>
        <w:trPr>
          <w:trHeight w:val="250"/>
        </w:trPr>
        <w:tc>
          <w:tcPr>
            <w:tcW w:w="6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15,826</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The weighted-average remaining lease term and discount rate used in the calculation of the Company’s operating lease assets and liabilities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Lease Term and Discount Rate</w:t>
            </w:r>
          </w:p>
        </w:tc>
        <w:tc>
          <w:tcPr>
            <w:tcW w:w="364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3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2.64</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w:t>
            </w:r>
          </w:p>
        </w:tc>
      </w:tr>
      <w:tr>
        <w:trPr>
          <w:trHeight w:val="25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3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rPr>
              <w:t>4.56 %</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Leases</w:t>
      </w:r>
    </w:p>
    <w:p>
      <w:pPr>
        <w:spacing w:after="0" w:line="247"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The Company leases space in its office building to third-party tenants under operating lease agreements with initial term expiration dates ranging from 2025 to 2034. Some of the agreements include options to extend the lease term for an additional five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Rental income earned from such leases was as follows for the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54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580" w:type="dxa"/>
            <w:vAlign w:val="bottom"/>
            <w:tcBorders>
              <w:top w:val="single" w:sz="8" w:color="auto"/>
              <w:bottom w:val="single" w:sz="8" w:color="auto"/>
            </w:tcBorders>
          </w:tcPr>
          <w:p>
            <w:pPr>
              <w:spacing w:after="0"/>
              <w:rPr>
                <w:sz w:val="23"/>
                <w:szCs w:val="23"/>
                <w:color w:val="auto"/>
              </w:rPr>
            </w:pPr>
          </w:p>
        </w:tc>
        <w:tc>
          <w:tcPr>
            <w:tcW w:w="2340" w:type="dxa"/>
            <w:vAlign w:val="bottom"/>
            <w:tcBorders>
              <w:top w:val="single" w:sz="8" w:color="auto"/>
              <w:bottom w:val="single" w:sz="8" w:color="auto"/>
            </w:tcBorders>
          </w:tcPr>
          <w:p>
            <w:pPr>
              <w:jc w:val="right"/>
              <w:ind w:right="1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7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326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Rental income </w:t>
            </w:r>
            <w:r>
              <w:rPr>
                <w:rFonts w:ascii="Times New Roman" w:cs="Times New Roman" w:eastAsia="Times New Roman" w:hAnsi="Times New Roman"/>
                <w:sz w:val="25"/>
                <w:szCs w:val="25"/>
                <w:color w:val="auto"/>
                <w:vertAlign w:val="superscript"/>
              </w:rPr>
              <w:t>(1)</w:t>
            </w:r>
          </w:p>
        </w:tc>
        <w:tc>
          <w:tcPr>
            <w:tcW w:w="154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7,459</w:t>
            </w:r>
          </w:p>
        </w:tc>
        <w:tc>
          <w:tcPr>
            <w:tcW w:w="5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85" w:lineRule="exact"/>
        <w:rPr>
          <w:sz w:val="20"/>
          <w:szCs w:val="20"/>
          <w:color w:val="auto"/>
        </w:rPr>
      </w:pPr>
    </w:p>
    <w:p>
      <w:pPr>
        <w:ind w:left="280" w:hanging="272"/>
        <w:spacing w:after="0"/>
        <w:tabs>
          <w:tab w:leader="none" w:pos="28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“Other non-interest income” on the Income Statement.</w:t>
      </w:r>
    </w:p>
    <w:p>
      <w:pPr>
        <w:spacing w:after="0" w:line="214"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Future fixed lease payments to be received by the Company as of December 31, 2025, under non-cancelable operating leases,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446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4,654</w:t>
            </w:r>
          </w:p>
        </w:tc>
      </w:tr>
      <w:tr>
        <w:trPr>
          <w:trHeight w:val="257"/>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4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w:t>
            </w:r>
          </w:p>
        </w:tc>
      </w:tr>
      <w:tr>
        <w:trPr>
          <w:trHeight w:val="25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44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2,460</w:t>
            </w:r>
          </w:p>
        </w:tc>
      </w:tr>
      <w:tr>
        <w:trPr>
          <w:trHeight w:val="257"/>
        </w:trPr>
        <w:tc>
          <w:tcPr>
            <w:tcW w:w="5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4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1,932</w:t>
            </w:r>
          </w:p>
        </w:tc>
      </w:tr>
      <w:tr>
        <w:trPr>
          <w:trHeight w:val="25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44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1,990</w:t>
            </w:r>
          </w:p>
        </w:tc>
      </w:tr>
      <w:tr>
        <w:trPr>
          <w:trHeight w:val="257"/>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4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6,215</w:t>
            </w:r>
          </w:p>
        </w:tc>
      </w:tr>
      <w:tr>
        <w:trPr>
          <w:trHeight w:val="275"/>
        </w:trPr>
        <w:tc>
          <w:tcPr>
            <w:tcW w:w="5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lease payments</w:t>
            </w:r>
          </w:p>
        </w:tc>
        <w:tc>
          <w:tcPr>
            <w:tcW w:w="446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20,607</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Sales-type Leases</w:t>
      </w:r>
    </w:p>
    <w:p>
      <w:pPr>
        <w:spacing w:after="0" w:line="26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Company has sales-type leases for equipment (Equipment Finance). Such arrangements may include options to renew or to purchase the leased equipment at the end of the lease term.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earned on Equipment Finance was as follows for the periods presented: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25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74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0" w:type="dxa"/>
            <w:vAlign w:val="bottom"/>
            <w:tcBorders>
              <w:top w:val="single" w:sz="8" w:color="auto"/>
              <w:bottom w:val="single" w:sz="8" w:color="auto"/>
            </w:tcBorders>
          </w:tcPr>
          <w:p>
            <w:pPr>
              <w:spacing w:after="0"/>
              <w:rPr>
                <w:sz w:val="23"/>
                <w:szCs w:val="23"/>
                <w:color w:val="auto"/>
              </w:rPr>
            </w:pPr>
          </w:p>
        </w:tc>
        <w:tc>
          <w:tcPr>
            <w:tcW w:w="17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3260" w:type="dxa"/>
            <w:vAlign w:val="bottom"/>
            <w:tcBorders>
              <w:bottom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 xml:space="preserve">Interest earned </w:t>
            </w:r>
            <w:r>
              <w:rPr>
                <w:rFonts w:ascii="Times New Roman" w:cs="Times New Roman" w:eastAsia="Times New Roman" w:hAnsi="Times New Roman"/>
                <w:sz w:val="25"/>
                <w:szCs w:val="25"/>
                <w:color w:val="auto"/>
                <w:vertAlign w:val="superscript"/>
              </w:rPr>
              <w:t>(1)</w:t>
            </w:r>
          </w:p>
        </w:tc>
        <w:tc>
          <w:tcPr>
            <w:tcW w:w="2540" w:type="dxa"/>
            <w:vAlign w:val="bottom"/>
            <w:tcBorders>
              <w:bottom w:val="single" w:sz="8" w:color="auto"/>
            </w:tcBorders>
            <w:shd w:val="clear" w:color="auto" w:fill="CCEEFF"/>
          </w:tcPr>
          <w:p>
            <w:pPr>
              <w:jc w:val="right"/>
              <w:ind w:right="130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2,776</w:t>
            </w:r>
          </w:p>
        </w:tc>
        <w:tc>
          <w:tcPr>
            <w:tcW w:w="5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5,152</w:t>
            </w:r>
          </w:p>
        </w:tc>
        <w:tc>
          <w:tcPr>
            <w:tcW w:w="6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8,929</w:t>
            </w:r>
          </w:p>
        </w:tc>
      </w:tr>
    </w:tbl>
    <w:p>
      <w:pPr>
        <w:spacing w:after="0" w:line="85" w:lineRule="exact"/>
        <w:rPr>
          <w:sz w:val="20"/>
          <w:szCs w:val="20"/>
          <w:color w:val="auto"/>
        </w:rPr>
      </w:pPr>
    </w:p>
    <w:p>
      <w:pPr>
        <w:ind w:left="280" w:hanging="272"/>
        <w:spacing w:after="0"/>
        <w:tabs>
          <w:tab w:leader="none" w:pos="280"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Recorded in “Interest and fees on loans and leases held for investment” on the Income Statement.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Equipment Finance assets are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8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5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Lease receivables</w:t>
            </w:r>
          </w:p>
        </w:tc>
        <w:tc>
          <w:tcPr>
            <w:tcW w:w="28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25,384</w:t>
            </w:r>
          </w:p>
        </w:tc>
        <w:tc>
          <w:tcPr>
            <w:tcW w:w="4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49,290</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Unguaranteed residual asset values</w:t>
            </w:r>
          </w:p>
        </w:tc>
        <w:tc>
          <w:tcPr>
            <w:tcW w:w="28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17,907</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20,728</w:t>
            </w:r>
          </w:p>
        </w:tc>
      </w:tr>
      <w:tr>
        <w:trPr>
          <w:trHeight w:val="25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Unearned income</w:t>
            </w:r>
          </w:p>
        </w:tc>
        <w:tc>
          <w:tcPr>
            <w:tcW w:w="28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(3,690)</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(6,125)</w:t>
            </w:r>
          </w:p>
        </w:tc>
      </w:tr>
      <w:tr>
        <w:trPr>
          <w:trHeight w:val="25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Deferred costs</w:t>
            </w:r>
          </w:p>
        </w:tc>
        <w:tc>
          <w:tcPr>
            <w:tcW w:w="28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156</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r>
      <w:tr>
        <w:trPr>
          <w:trHeight w:val="275"/>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w:t>
            </w:r>
          </w:p>
        </w:tc>
        <w:tc>
          <w:tcPr>
            <w:tcW w:w="28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39,757</w:t>
            </w:r>
          </w:p>
        </w:tc>
        <w:tc>
          <w:tcPr>
            <w:tcW w:w="4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64,232</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lease payments based on maturity of the Company’s sales-type leases as of December 31, 2025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342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13,420</w:t>
            </w:r>
          </w:p>
        </w:tc>
      </w:tr>
      <w:tr>
        <w:trPr>
          <w:trHeight w:val="257"/>
        </w:trPr>
        <w:tc>
          <w:tcPr>
            <w:tcW w:w="6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3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7,469</w:t>
            </w:r>
          </w:p>
        </w:tc>
      </w:tr>
      <w:tr>
        <w:trPr>
          <w:trHeight w:val="25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3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3,823</w:t>
            </w:r>
          </w:p>
        </w:tc>
      </w:tr>
      <w:tr>
        <w:trPr>
          <w:trHeight w:val="257"/>
        </w:trPr>
        <w:tc>
          <w:tcPr>
            <w:tcW w:w="6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3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w:t>
            </w:r>
          </w:p>
        </w:tc>
      </w:tr>
      <w:tr>
        <w:trPr>
          <w:trHeight w:val="257"/>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3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Total lease payments</w:t>
            </w:r>
          </w:p>
        </w:tc>
        <w:tc>
          <w:tcPr>
            <w:tcW w:w="34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26,188</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Discount effect</w:t>
            </w:r>
          </w:p>
        </w:tc>
        <w:tc>
          <w:tcPr>
            <w:tcW w:w="3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(804)</w:t>
            </w:r>
          </w:p>
        </w:tc>
      </w:tr>
      <w:tr>
        <w:trPr>
          <w:trHeight w:val="25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34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25,384</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Commitments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 Commitments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discussion regarding the Company’s operating lease commitments, see “</w:t>
      </w:r>
      <w:r>
        <w:rPr>
          <w:rFonts w:ascii="Times New Roman" w:cs="Times New Roman" w:eastAsia="Times New Roman" w:hAnsi="Times New Roman"/>
          <w:sz w:val="20"/>
          <w:szCs w:val="20"/>
          <w:i w:val="1"/>
          <w:iCs w:val="1"/>
          <w:color w:val="auto"/>
        </w:rPr>
        <w:t>Note 17. Leases.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Repurchase Obligations</w:t>
      </w:r>
    </w:p>
    <w:p>
      <w:pPr>
        <w:spacing w:after="0" w:line="2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Company is generally required to repurchase loans or interests therein from marketplace investors in cases of (i) confirmed identity theft or certain other types of fraud on the part of the borrower or a service provider; (ii) certain failures of loans to comply with the investor’s purchase order or as an investor accommodation; or (iii) confirmed material breach of representations made with respect to such loans that result in a material adverse effect on such loan. The Company believes such provisions are customary and consistent with institutional loan and securitization market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Unfunded Lending Commitments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the contractual amount of unfunded lending commitments totaled $98.2 million and $105.0 million,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of which $52.0 million and $105.0 million, respectively, are commitments for loans (at amortized cost) to be funded. See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 5. Loans and Leases Held for Investment at Amortized Cost, Net of Allowance for Loan and Lease Losses</w:t>
      </w:r>
      <w:r>
        <w:rPr>
          <w:rFonts w:ascii="Times New Roman" w:cs="Times New Roman" w:eastAsia="Times New Roman" w:hAnsi="Times New Roman"/>
          <w:sz w:val="20"/>
          <w:szCs w:val="20"/>
          <w:color w:val="auto"/>
        </w:rPr>
        <w:t>” for additional detail 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 for unfunded lending commitments.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w:t>
      </w:r>
    </w:p>
    <w:p>
      <w:pPr>
        <w:spacing w:after="0" w:line="2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is subject to various claims brought in a litigation or regulatory context. These include lawsuits and regulatory exams, investigations, or inquiries. In accordance with applicable accounting standards, the Company accrues for costs related to contingencies when a loss from such claims is probable and the amount of loss can be reasonably estimated. In determining whether a loss from a claim is probable and the loss can be reasonably estimated, the Company reviews and evaluates its litigation and regulatory matters on at least a quarterly basis in light of potentially relevant factual and legal developments. If the Company determines an unfavorable outcome is not probable or the amount of loss cannot be reasonably estimated, the Company does not accrue for a potential litigation loss. In those situations, the Company discloses an estimate or range of the reasonably possible losses, if such estimates can be made.</w:t>
      </w:r>
    </w:p>
    <w:p>
      <w:pPr>
        <w:spacing w:after="0" w:line="220"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20"/>
          <w:szCs w:val="20"/>
          <w:color w:val="auto"/>
        </w:rPr>
        <w:t>Based on information available to the Company as of the date of this Annual Report, the Company does not believe that the resolution of the pending claims will have a material adverse effect on its financial position, results of operations or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Examinations and Actions Relating to the Company’s Business Practices, and Compliance with Applicable Laws</w:t>
      </w:r>
    </w:p>
    <w:p>
      <w:pPr>
        <w:spacing w:after="0" w:line="26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Company is and has been subject to periodic inquiries, exams and enforcement actions brought by federal and state regulatory agencies relating to the Company’s business practices, and operating in compliance with applicable laws.</w:t>
      </w:r>
    </w:p>
    <w:p>
      <w:pPr>
        <w:spacing w:after="0" w:line="17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In the past, the Company has successfully resolved such matters in a manner that was not material to its results of financial operations in any period and that did not materially limit the Company’s ability to conduct its business. However, no assurances can be given as to the timing, outcome or consequences of these matters or other similar matters if or as they arise.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Regulatory Requirements</w:t>
      </w:r>
    </w:p>
    <w:p>
      <w:pPr>
        <w:spacing w:after="0" w:line="26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LendingClub and LC Bank are subject to comprehensive supervision, examination and enforcement, and regulation by the FRB and the Office of the Comptroller of the Currency (OCC), respectively, including generally similar capital adequacy requirements adopted by both agencies.</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These requirements establish required minimum ratios for Common Equity Tier 1 (CET1) risk-based capital, Tier 1 risk-based capital, total risk-based capital and a Tier 1 leverage ratio; set risk-weighting for assets and certain other items for purposes of the risk-based capital ratios; and define what qualifies as capital for purposes of meeting the capital requirements. Failure to meet minimum capital requirements can result in certain mandatory and possibly additional discretionary actions by regulators that, if undertaken, could have a direct material effect on the Company. The minimum capital requirements under the Basel Committee on Banking Supervision standardized approach for U.S. banking organizations (Basel III) capital framework are: a CET1 risk-based capital ratio of 4.5%, a Tier 1 risk-based capital ratio of 6.0%, a total risk-based capital ratio of 8.0%, and a Tier 1 leverage ratio of 4.0%. Additionally, a capital conservation buffer of 2.5% must be maintained above the minimum risk-based capital requirements in order to avoid certain limitations on capital distributions, share repurchases, and certain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discretionary bonus payments. In addition to these guidelines, the regulators assess any particular institution’s capital adequacy based on numerous factors and may require a particular banking organization to maintain capital at levels higher than the generally applicable minimums prescribed under the Basel III capital framework. The Federal Deposit Insurance Act provides for a system of “prompt corrective action” (PCA). The PCA framework provides for capitalization categories ranging from “well-capitalized” to “critically undercapitalized.” An institution’s PCA category is determined primarily by its regulatory capital ratios. The PCA requires remedial actions and imposes limitations that become increasingly stringent as its PCA capitalization category declines, including the ability to accept and/or rollover brokered deposits. At December 31, 2025 and 2024, the Company’s and LC Bank’s regulatory capital ratios exceeded the thresholds required to be regarded as “well-capitalized” institutions and met all capital adequacy requirements to which they are subject. There have been no events or conditions since December 31, 2025 that management believes would change the Company’s categorization.</w:t>
      </w:r>
    </w:p>
    <w:p>
      <w:pPr>
        <w:spacing w:after="0" w:line="197"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following table presents the actual capital amounts and ratios of the Company and LC Bank as well as LC Bank’s regulatory minimum and “well-capitalized” requirements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0" w:type="dxa"/>
            <w:vAlign w:val="bottom"/>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Required</w:t>
            </w:r>
          </w:p>
        </w:tc>
        <w:tc>
          <w:tcPr>
            <w:tcW w:w="166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Well-Capitalized</w:t>
            </w:r>
          </w:p>
        </w:tc>
      </w:tr>
      <w:tr>
        <w:trPr>
          <w:trHeight w:val="250"/>
        </w:trPr>
        <w:tc>
          <w:tcPr>
            <w:tcW w:w="29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Ratio</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0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Ratio</w:t>
            </w:r>
          </w:p>
        </w:tc>
        <w:tc>
          <w:tcPr>
            <w:tcW w:w="1800" w:type="dxa"/>
            <w:vAlign w:val="bottom"/>
            <w:tcBorders>
              <w:bottom w:val="single" w:sz="8" w:color="auto"/>
            </w:tcBorders>
          </w:tcPr>
          <w:p>
            <w:pPr>
              <w:jc w:val="right"/>
              <w:ind w:right="281"/>
              <w:spacing w:after="0" w:line="250" w:lineRule="exact"/>
              <w:rPr>
                <w:sz w:val="20"/>
                <w:szCs w:val="20"/>
                <w:color w:val="auto"/>
              </w:rPr>
            </w:pPr>
            <w:r>
              <w:rPr>
                <w:rFonts w:ascii="Times New Roman" w:cs="Times New Roman" w:eastAsia="Times New Roman" w:hAnsi="Times New Roman"/>
                <w:sz w:val="20"/>
                <w:szCs w:val="20"/>
                <w:b w:val="1"/>
                <w:bCs w:val="1"/>
                <w:color w:val="auto"/>
              </w:rPr>
              <w:t xml:space="preserve">Minimum </w:t>
            </w:r>
            <w:r>
              <w:rPr>
                <w:rFonts w:ascii="Times New Roman" w:cs="Times New Roman" w:eastAsia="Times New Roman" w:hAnsi="Times New Roman"/>
                <w:sz w:val="25"/>
                <w:szCs w:val="25"/>
                <w:b w:val="1"/>
                <w:bCs w:val="1"/>
                <w:color w:val="auto"/>
                <w:vertAlign w:val="superscript"/>
              </w:rPr>
              <w:t>(1)</w:t>
            </w:r>
          </w:p>
        </w:tc>
        <w:tc>
          <w:tcPr>
            <w:tcW w:w="16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Minimum</w:t>
            </w:r>
          </w:p>
        </w:tc>
      </w:tr>
      <w:tr>
        <w:trPr>
          <w:trHeight w:val="25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LendingClub Corporation:</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56"/>
        </w:trPr>
        <w:tc>
          <w:tcPr>
            <w:tcW w:w="29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CET1 capital </w:t>
            </w:r>
            <w:r>
              <w:rPr>
                <w:rFonts w:ascii="Times New Roman" w:cs="Times New Roman" w:eastAsia="Times New Roman" w:hAnsi="Times New Roman"/>
                <w:sz w:val="25"/>
                <w:szCs w:val="25"/>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17.3 %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8.5 %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6.0 %</w:t>
            </w: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1,441.0</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1,276.5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leverage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1,342.6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1,188.6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6"/>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7,696.1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6,887.1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Quarterly adjusted average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11,174.0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10,814.0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108"/>
        </w:trPr>
        <w:tc>
          <w:tcPr>
            <w:tcW w:w="2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5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LendingClub Bank:</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7"/>
        </w:trPr>
        <w:tc>
          <w:tcPr>
            <w:tcW w:w="298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 xml:space="preserve">CET1 capital </w:t>
            </w:r>
            <w:r>
              <w:rPr>
                <w:rFonts w:ascii="Times New Roman" w:cs="Times New Roman" w:eastAsia="Times New Roman" w:hAnsi="Times New Roman"/>
                <w:sz w:val="25"/>
                <w:szCs w:val="25"/>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8.5 %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8.0 %</w:t>
            </w:r>
          </w:p>
        </w:tc>
      </w:tr>
      <w:tr>
        <w:trPr>
          <w:trHeight w:val="256"/>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1,281.8</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1,188.5</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17.4 %</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10.5 %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5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Tier 1 leverage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1,183.9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1,101.4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10.3 %</w:t>
            </w: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256"/>
        </w:trPr>
        <w:tc>
          <w:tcPr>
            <w:tcW w:w="2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7,652.0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6,823.1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57"/>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Quarterly adjusted average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11,090.4</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rPr>
              <w:t>10,696.7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N/A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N/A</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 Not applicable</w:t>
      </w:r>
    </w:p>
    <w:p>
      <w:pPr>
        <w:spacing w:after="0" w:line="26"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Required minimums presented for risk-based capital ratios include the required capital conservation buffer of 2.5%.</w:t>
      </w:r>
    </w:p>
    <w:p>
      <w:pPr>
        <w:spacing w:after="0" w:line="47" w:lineRule="exact"/>
        <w:rPr>
          <w:rFonts w:ascii="Times New Roman" w:cs="Times New Roman" w:eastAsia="Times New Roman" w:hAnsi="Times New Roman"/>
          <w:sz w:val="26"/>
          <w:szCs w:val="26"/>
          <w:color w:val="auto"/>
          <w:vertAlign w:val="superscript"/>
        </w:rPr>
      </w:pPr>
    </w:p>
    <w:p>
      <w:pPr>
        <w:jc w:val="both"/>
        <w:ind w:left="340" w:right="300" w:hanging="332"/>
        <w:spacing w:after="0" w:line="228" w:lineRule="auto"/>
        <w:tabs>
          <w:tab w:leader="none" w:pos="294"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CET1 capital consists of common stockholders’ equity as defined under U.S. GAAP and certain adjustments made in accordance with regulatory capital guidelines, including the addition of the CECL transitional benefit and deductions for goodwill and other intangible assets.</w:t>
      </w:r>
    </w:p>
    <w:p>
      <w:pPr>
        <w:spacing w:after="0" w:line="21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Federal laws and regulations limit the ability of national banks, such as LC Bank, to pay dividends based upon, among other things, maintaining required levels of regulatory capital and retained net profits for the preceding two calendar years plus retained net profits up to the date of any dividend declaration in the current calendar year. Retained net profits, as defined by the OCC, consist of net income less dividends declared during the period. During the first quarter of 2025, LC Bank paid a $50 million cash dividend to LendingClub Corporation to return a capital contribution made by LendingClub Corporation to LC Bank in the second half of 2024. LC Bank has not otherwise declared any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Federal law restricts the amount and the terms of both credit and non-credit transactions between a bank and its nonbank affiliates. These covered transactions may not exceed 10% of the bank’s capital and surplus (which for this purpose represents tier 1 and tier 2 capital, as calculated under the risk-based capital rules, plus the balance of the ACL excluded from tier 2 capital) with any single nonbank affiliate and 20% of the bank’s capital and surplus with all its nonbank affiliates. Covered transactions that are extensions of credit may require collateral to be pledged to provide added security to the bank.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Segment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Reportable Segments</w:t>
      </w:r>
    </w:p>
    <w:p>
      <w:pPr>
        <w:spacing w:after="0" w:line="24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Company defines operating segments to be components of the Company for which discrete financial information is evaluated regularly by the Chief Operating Decision Maker (CODM) to allocate resources and evaluate financial performance. The measure of segment profit used by the CODM in this evaluation is net income. The CODM consists of the Company’s Chief Executive Officer and Chief Financial Officer. This information is reviewed according to the legal organizational structure of the Company’s operations with products and services presented separately for the parent bank holding company and its wholly-owned subsidiary, LC Bank, which are both considered reportable segments. Income taxes are recorded on a separate entity basis whereby each operating segment determines income tax expense or benefit as if it filed a separate tax return.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LendingClub Bank</w:t>
      </w:r>
    </w:p>
    <w:p>
      <w:pPr>
        <w:spacing w:after="0" w:line="2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LC Bank operating segment represents the national bank legal entity and reflects operating activities after its formation. This segment provides a full complement of financial products and solutions, including loans and deposits. It originates loans to individuals and businesses, retains loans for investment, sells loans to marketplace investors and manages relationships with deposit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LendingClub Corporation (Parent Only)</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LendingClub Corporation (Parent only) operating segment represents the holding company legal entity and predominately reflects the operations of the Company prior to the formation of LC Bank. This activity includes, but is not limited to, servicing fee revenue on purchased servicing assets, and interest income and interest expense related to transactions entered into prior to LC Bank’s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information for the segments is presented in the following tables: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LendingClub</w:t>
            </w: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LendingClub</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5"/>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 Reportable Segments</w:t>
            </w:r>
          </w:p>
        </w:tc>
        <w:tc>
          <w:tcPr>
            <w:tcW w:w="0" w:type="dxa"/>
            <w:vAlign w:val="bottom"/>
          </w:tcPr>
          <w:p>
            <w:pPr>
              <w:spacing w:after="0"/>
              <w:rPr>
                <w:sz w:val="1"/>
                <w:szCs w:val="1"/>
                <w:color w:val="auto"/>
              </w:rPr>
            </w:pPr>
          </w:p>
        </w:tc>
      </w:tr>
      <w:tr>
        <w:trPr>
          <w:trHeight w:val="214"/>
        </w:trPr>
        <w:tc>
          <w:tcPr>
            <w:tcW w:w="1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Bank</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Corporation (Parent only)</w:t>
            </w: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Marketplace revenue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303,930</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176,921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206,381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29,613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36,595</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333,543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213,516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248,198</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52,050</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53,643</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74,684</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7,472</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9,038</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9,503</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59,522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62,681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84,187</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355,980</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230,564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281,065</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37,085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45,633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51,320</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393,065</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276,197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332,385</w:t>
            </w:r>
          </w:p>
        </w:tc>
        <w:tc>
          <w:tcPr>
            <w:tcW w:w="0" w:type="dxa"/>
            <w:vAlign w:val="bottom"/>
          </w:tcPr>
          <w:p>
            <w:pPr>
              <w:spacing w:after="0"/>
              <w:rPr>
                <w:sz w:val="1"/>
                <w:szCs w:val="1"/>
                <w:color w:val="auto"/>
              </w:rPr>
            </w:pPr>
          </w:p>
        </w:tc>
      </w:tr>
      <w:tr>
        <w:trPr>
          <w:trHeight w:val="76"/>
        </w:trPr>
        <w:tc>
          <w:tcPr>
            <w:tcW w:w="1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960,714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902,741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818,206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961,543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907,958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832,630</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(335,871)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(373,219)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(266,218)</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(335,871)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(373,917)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(270,792)</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624,843</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529,522</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551,988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9,850</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625,672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534,041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561,838</w:t>
            </w:r>
          </w:p>
        </w:tc>
        <w:tc>
          <w:tcPr>
            <w:tcW w:w="0" w:type="dxa"/>
            <w:vAlign w:val="bottom"/>
          </w:tcPr>
          <w:p>
            <w:pPr>
              <w:spacing w:after="0"/>
              <w:rPr>
                <w:sz w:val="1"/>
                <w:szCs w:val="1"/>
                <w:color w:val="auto"/>
              </w:rPr>
            </w:pPr>
          </w:p>
        </w:tc>
      </w:tr>
      <w:tr>
        <w:trPr>
          <w:trHeight w:val="76"/>
        </w:trPr>
        <w:tc>
          <w:tcPr>
            <w:tcW w:w="1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980,823</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760,086</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833,053</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37,914</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50,152</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61,170</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1,018,737</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810,238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894,223</w:t>
            </w:r>
          </w:p>
        </w:tc>
        <w:tc>
          <w:tcPr>
            <w:tcW w:w="0" w:type="dxa"/>
            <w:vAlign w:val="bottom"/>
          </w:tcPr>
          <w:p>
            <w:pPr>
              <w:spacing w:after="0"/>
              <w:rPr>
                <w:sz w:val="1"/>
                <w:szCs w:val="1"/>
                <w:color w:val="auto"/>
              </w:rPr>
            </w:pPr>
          </w:p>
        </w:tc>
      </w:tr>
      <w:tr>
        <w:trPr>
          <w:trHeight w:val="76"/>
        </w:trPr>
        <w:tc>
          <w:tcPr>
            <w:tcW w:w="1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(243,565)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(243,565)</w:t>
            </w:r>
          </w:p>
        </w:tc>
        <w:tc>
          <w:tcPr>
            <w:tcW w:w="0" w:type="dxa"/>
            <w:vAlign w:val="bottom"/>
          </w:tcPr>
          <w:p>
            <w:pPr>
              <w:spacing w:after="0"/>
              <w:rPr>
                <w:sz w:val="1"/>
                <w:szCs w:val="1"/>
                <w:color w:val="auto"/>
              </w:rPr>
            </w:pPr>
          </w:p>
        </w:tc>
      </w:tr>
      <w:tr>
        <w:trPr>
          <w:trHeight w:val="94"/>
        </w:trPr>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(235,289)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(225,620)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(255,428)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(241,846)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(232,158)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(261,948)</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and software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(53,485)</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Depreciation and</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(58,277)</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(50,309)</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(30,216)</w:t>
            </w:r>
          </w:p>
        </w:tc>
        <w:tc>
          <w:tcPr>
            <w:tcW w:w="2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2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(16,979)</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(62,889)</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(58,834)</w:t>
            </w: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(47,195)</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(41,689)</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(35,173)</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(17,532)</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(24,508)</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(76,474)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(86,868)</w:t>
            </w:r>
          </w:p>
        </w:tc>
        <w:tc>
          <w:tcPr>
            <w:tcW w:w="0" w:type="dxa"/>
            <w:vAlign w:val="bottom"/>
          </w:tcPr>
          <w:p>
            <w:pPr>
              <w:spacing w:after="0"/>
              <w:rPr>
                <w:sz w:val="1"/>
                <w:szCs w:val="1"/>
                <w:color w:val="auto"/>
              </w:rPr>
            </w:pPr>
          </w:p>
        </w:tc>
      </w:tr>
      <w:tr>
        <w:trPr>
          <w:trHeight w:val="211"/>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(616,351)</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(521,318)</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(537,026)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(45,587)</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(59,015)</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(650,471)</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(566,905)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(596,041)</w:t>
            </w:r>
          </w:p>
        </w:tc>
        <w:tc>
          <w:tcPr>
            <w:tcW w:w="0" w:type="dxa"/>
            <w:vAlign w:val="bottom"/>
          </w:tcPr>
          <w:p>
            <w:pPr>
              <w:spacing w:after="0"/>
              <w:rPr>
                <w:sz w:val="1"/>
                <w:szCs w:val="1"/>
                <w:color w:val="auto"/>
              </w:rPr>
            </w:pPr>
          </w:p>
        </w:tc>
      </w:tr>
      <w:tr>
        <w:trPr>
          <w:trHeight w:val="157"/>
        </w:trPr>
        <w:tc>
          <w:tcPr>
            <w:tcW w:w="18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(41,502)</w:t>
            </w:r>
          </w:p>
        </w:tc>
        <w:tc>
          <w:tcPr>
            <w:tcW w:w="2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2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(17,881)</w:t>
            </w:r>
          </w:p>
        </w:tc>
        <w:tc>
          <w:tcPr>
            <w:tcW w:w="260" w:type="dxa"/>
            <w:vAlign w:val="bottom"/>
          </w:tcPr>
          <w:p>
            <w:pPr>
              <w:spacing w:after="0"/>
              <w:rPr>
                <w:sz w:val="13"/>
                <w:szCs w:val="13"/>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60" w:type="dxa"/>
            <w:vAlign w:val="bottom"/>
          </w:tcPr>
          <w:p>
            <w:pPr>
              <w:spacing w:after="0"/>
              <w:rPr>
                <w:sz w:val="13"/>
                <w:szCs w:val="13"/>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2,203</w:t>
            </w: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(41,269)</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(13,736)</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(15,678)</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benefit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Net income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131,650</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47,677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34,581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135,677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143,566</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54,302</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59,509</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143,566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54,302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59,509</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hanging="272"/>
        <w:spacing w:after="0"/>
        <w:tabs>
          <w:tab w:leader="none" w:pos="280" w:val="left"/>
        </w:tabs>
        <w:numPr>
          <w:ilvl w:val="0"/>
          <w:numId w:val="9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Total net income from reportable segments reflects net income on a consolidated basis.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15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9"/>
                <w:szCs w:val="19"/>
                <w:b w:val="1"/>
                <w:bCs w:val="1"/>
                <w:color w:val="auto"/>
              </w:rPr>
              <w:t>2025</w:t>
            </w:r>
          </w:p>
        </w:tc>
        <w:tc>
          <w:tcPr>
            <w:tcW w:w="5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9"/>
                <w:szCs w:val="19"/>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3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revenue – reportable segments</w:t>
            </w:r>
          </w:p>
        </w:tc>
        <w:tc>
          <w:tcPr>
            <w:tcW w:w="15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1,018,737</w:t>
            </w:r>
          </w:p>
        </w:tc>
        <w:tc>
          <w:tcPr>
            <w:tcW w:w="5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810,238</w:t>
            </w:r>
          </w:p>
        </w:tc>
        <w:tc>
          <w:tcPr>
            <w:tcW w:w="5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9"/>
                <w:szCs w:val="19"/>
                <w:color w:val="auto"/>
              </w:rPr>
              <w:t>894,223</w:t>
            </w:r>
          </w:p>
        </w:tc>
      </w:tr>
      <w:tr>
        <w:trPr>
          <w:trHeight w:val="24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Intercompany eliminations</w:t>
            </w:r>
          </w:p>
        </w:tc>
        <w:tc>
          <w:tcPr>
            <w:tcW w:w="1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(19,889)</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(23,227)</w:t>
            </w:r>
          </w:p>
        </w:tc>
        <w:tc>
          <w:tcPr>
            <w:tcW w:w="5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9"/>
                <w:szCs w:val="19"/>
                <w:color w:val="auto"/>
              </w:rPr>
              <w:t>(29,604)</w:t>
            </w:r>
          </w:p>
        </w:tc>
      </w:tr>
      <w:tr>
        <w:trPr>
          <w:trHeight w:val="262"/>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net revenue – consolidated</w:t>
            </w:r>
          </w:p>
        </w:tc>
        <w:tc>
          <w:tcPr>
            <w:tcW w:w="150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998,848</w:t>
            </w:r>
          </w:p>
        </w:tc>
        <w:tc>
          <w:tcPr>
            <w:tcW w:w="50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787,011</w:t>
            </w:r>
          </w:p>
        </w:tc>
        <w:tc>
          <w:tcPr>
            <w:tcW w:w="50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9"/>
                <w:szCs w:val="19"/>
                <w:color w:val="auto"/>
              </w:rPr>
              <w:t>864,619</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Each expense item reported above represents the Company’s “significant segment expenses” as they are separately evaluated by the CODM, with the exception of “Other non-interest expense” which represents “other segment items” and encompasses various miscellaneous operating expenses.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LendingClub</w:t>
            </w: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4"/>
          </w:tcPr>
          <w:p>
            <w:pPr>
              <w:ind w:left="140"/>
              <w:spacing w:after="0" w:line="189" w:lineRule="exact"/>
              <w:rPr>
                <w:sz w:val="20"/>
                <w:szCs w:val="20"/>
                <w:color w:val="auto"/>
              </w:rPr>
            </w:pPr>
            <w:r>
              <w:rPr>
                <w:rFonts w:ascii="Times New Roman" w:cs="Times New Roman" w:eastAsia="Times New Roman" w:hAnsi="Times New Roman"/>
                <w:sz w:val="18"/>
                <w:szCs w:val="18"/>
                <w:b w:val="1"/>
                <w:bCs w:val="1"/>
                <w:color w:val="auto"/>
              </w:rPr>
              <w:t>LendingClub Corporation</w:t>
            </w:r>
          </w:p>
        </w:tc>
        <w:tc>
          <w:tcPr>
            <w:tcW w:w="24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 Reportable Segments</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Bank</w:t>
            </w: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(Parent only)</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901,246</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932,463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127,087</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1,028,333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998,444</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16,659</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Securities available for sale at fair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3,696,626</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10,083</w:t>
            </w:r>
          </w:p>
        </w:tc>
        <w:tc>
          <w:tcPr>
            <w:tcW w:w="5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3,706,709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3,452,648</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1,762,396</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1,762,396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636,352</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and leases held for</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3,997,069</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3,997,069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3,889,084</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Loans held for investment at fair</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472,301</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473,314</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1,027,798</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equipment and software,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250,168</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3,920</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254,088</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167,532</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903,339</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903,339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910,544</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75,717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75,717</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316,488</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300,621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72,323</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421,819</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11,472,011</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10,469,106</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1,134,424</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1,138,368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12,606,435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11,607,474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9,948,426</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9,116,821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9,948,426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9,116,821</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217,930</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36,313</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238,378</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10,166,356</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9,294,532</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36,313</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10,202,669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9,355,199</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1,305,655</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1,174,574</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1,098,111</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1,077,701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2,403,766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2,252,275</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11,472,011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10,469,106</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1,134,424</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1,138,368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12,606,435</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11,607,474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6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26"/>
              <w:spacing w:after="0"/>
              <w:rPr>
                <w:sz w:val="20"/>
                <w:szCs w:val="20"/>
                <w:color w:val="auto"/>
              </w:rPr>
            </w:pPr>
            <w:r>
              <w:rPr>
                <w:rFonts w:ascii="Times New Roman" w:cs="Times New Roman" w:eastAsia="Times New Roman" w:hAnsi="Times New Roman"/>
                <w:sz w:val="19"/>
                <w:szCs w:val="19"/>
                <w:b w:val="1"/>
                <w:bCs w:val="1"/>
                <w:color w:val="auto"/>
              </w:rPr>
              <w:t>2025</w:t>
            </w:r>
          </w:p>
        </w:tc>
        <w:tc>
          <w:tcPr>
            <w:tcW w:w="48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3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assets – reportable segments</w:t>
            </w:r>
          </w:p>
        </w:tc>
        <w:tc>
          <w:tcPr>
            <w:tcW w:w="26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12,606,435</w:t>
            </w:r>
          </w:p>
        </w:tc>
        <w:tc>
          <w:tcPr>
            <w:tcW w:w="48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11,607,474</w:t>
            </w:r>
          </w:p>
        </w:tc>
      </w:tr>
      <w:tr>
        <w:trPr>
          <w:trHeight w:val="243"/>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Intercompany eliminations</w:t>
            </w:r>
          </w:p>
        </w:tc>
        <w:tc>
          <w:tcPr>
            <w:tcW w:w="26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(1,038,619)</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(976,965)</w:t>
            </w:r>
          </w:p>
        </w:tc>
      </w:tr>
      <w:tr>
        <w:trPr>
          <w:trHeight w:val="262"/>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assets – consolidated</w:t>
            </w:r>
          </w:p>
        </w:tc>
        <w:tc>
          <w:tcPr>
            <w:tcW w:w="260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11,567,816</w:t>
            </w:r>
          </w:p>
        </w:tc>
        <w:tc>
          <w:tcPr>
            <w:tcW w:w="48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10,630,509</w:t>
            </w: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21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9"/>
                <w:szCs w:val="19"/>
                <w:b w:val="1"/>
                <w:bCs w:val="1"/>
                <w:color w:val="auto"/>
              </w:rPr>
              <w:t>2025</w:t>
            </w:r>
          </w:p>
        </w:tc>
        <w:tc>
          <w:tcPr>
            <w:tcW w:w="5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3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liabilities and equity – reportable segments</w:t>
            </w:r>
          </w:p>
        </w:tc>
        <w:tc>
          <w:tcPr>
            <w:tcW w:w="21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9"/>
                <w:szCs w:val="19"/>
                <w:color w:val="auto"/>
              </w:rPr>
              <w:t>12,606,435</w:t>
            </w:r>
          </w:p>
        </w:tc>
        <w:tc>
          <w:tcPr>
            <w:tcW w:w="52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11,607,474</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Intercompany eliminations – liabilities</w:t>
            </w:r>
          </w:p>
        </w:tc>
        <w:tc>
          <w:tcPr>
            <w:tcW w:w="2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(135,281)</w:t>
            </w:r>
          </w:p>
        </w:tc>
        <w:tc>
          <w:tcPr>
            <w:tcW w:w="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(66,421)</w:t>
            </w:r>
          </w:p>
        </w:tc>
      </w:tr>
      <w:tr>
        <w:trPr>
          <w:trHeight w:val="243"/>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Intercompany eliminations – equity</w:t>
            </w:r>
          </w:p>
        </w:tc>
        <w:tc>
          <w:tcPr>
            <w:tcW w:w="2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(903,338)</w:t>
            </w:r>
          </w:p>
        </w:tc>
        <w:tc>
          <w:tcPr>
            <w:tcW w:w="5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(910,544)</w:t>
            </w:r>
          </w:p>
        </w:tc>
      </w:tr>
      <w:tr>
        <w:trPr>
          <w:trHeight w:val="237"/>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Total liabilities and equity – consolidated</w:t>
            </w:r>
          </w:p>
        </w:tc>
        <w:tc>
          <w:tcPr>
            <w:tcW w:w="21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9"/>
                <w:szCs w:val="19"/>
                <w:color w:val="auto"/>
              </w:rPr>
              <w:t>11,567,816</w:t>
            </w:r>
          </w:p>
        </w:tc>
        <w:tc>
          <w:tcPr>
            <w:tcW w:w="5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10,630,509</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Concentration and Geographic Information</w:t>
      </w:r>
    </w:p>
    <w:p>
      <w:pPr>
        <w:spacing w:after="0" w:line="26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No individual borrower or marketplace investor accounted for 10% or more of total net revenue for any of the periods presented. All of the Company’s revenue is generated in the United States, and all of the long-lived assets are based in the United States.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LendingClub Corporation – Parent Company-Only Financial Statements</w:t>
      </w:r>
    </w:p>
    <w:p>
      <w:pPr>
        <w:spacing w:after="0" w:line="26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The following tables present standalone condensed financial statements for LendingClub Corporation (Parent Company). These statements are provided in accordance with SEC rules, which require such disclosures when the restricted net assets of a consolidated subsidiary exceed 25% of consolidated net assets, and should be read in conjunction with the Consolidated Financial Statements and the accompanying Notes to the Consolidated Financial Statements. For purposes of these condensed financial statements, the Parent’s wholly-owned subsidiary is presented in accordance with the equity method of accounting.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Income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19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9"/>
                <w:szCs w:val="19"/>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9"/>
                <w:szCs w:val="19"/>
                <w:b w:val="1"/>
                <w:bCs w:val="1"/>
                <w:color w:val="auto"/>
              </w:rPr>
              <w:t>2024</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Non-interest income:</w:t>
            </w:r>
          </w:p>
        </w:tc>
        <w:tc>
          <w:tcPr>
            <w:tcW w:w="19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Marketplace revenue</w:t>
            </w:r>
          </w:p>
        </w:tc>
        <w:tc>
          <w:tcPr>
            <w:tcW w:w="1960" w:type="dxa"/>
            <w:vAlign w:val="bottom"/>
          </w:tcPr>
          <w:p>
            <w:pPr>
              <w:jc w:val="right"/>
              <w:ind w:right="147"/>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29,613</w:t>
            </w:r>
          </w:p>
        </w:tc>
        <w:tc>
          <w:tcPr>
            <w:tcW w:w="4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36,595</w:t>
            </w:r>
          </w:p>
        </w:tc>
        <w:tc>
          <w:tcPr>
            <w:tcW w:w="40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41,817</w:t>
            </w:r>
          </w:p>
        </w:tc>
      </w:tr>
      <w:tr>
        <w:trPr>
          <w:trHeight w:val="243"/>
        </w:trPr>
        <w:tc>
          <w:tcPr>
            <w:tcW w:w="4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non-interest income</w:t>
            </w:r>
          </w:p>
        </w:tc>
        <w:tc>
          <w:tcPr>
            <w:tcW w:w="19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7,472</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9,038</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9,503</w:t>
            </w:r>
          </w:p>
        </w:tc>
      </w:tr>
      <w:tr>
        <w:trPr>
          <w:trHeight w:val="237"/>
        </w:trPr>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non-interest income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37,085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45,633</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51,320</w:t>
            </w:r>
          </w:p>
        </w:tc>
      </w:tr>
      <w:tr>
        <w:trPr>
          <w:trHeight w:val="74"/>
        </w:trPr>
        <w:tc>
          <w:tcPr>
            <w:tcW w:w="482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Interest income:</w:t>
            </w:r>
          </w:p>
        </w:tc>
        <w:tc>
          <w:tcPr>
            <w:tcW w:w="1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Interest on loans held for investment at fair value</w:t>
            </w:r>
          </w:p>
        </w:tc>
        <w:tc>
          <w:tcPr>
            <w:tcW w:w="19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474</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1,831</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6,811</w:t>
            </w: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on securities available for sale</w:t>
            </w:r>
          </w:p>
        </w:tc>
        <w:tc>
          <w:tcPr>
            <w:tcW w:w="196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83</w:t>
            </w:r>
          </w:p>
        </w:tc>
        <w:tc>
          <w:tcPr>
            <w:tcW w:w="4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2,785</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6,802</w:t>
            </w:r>
          </w:p>
        </w:tc>
      </w:tr>
      <w:tr>
        <w:trPr>
          <w:trHeight w:val="243"/>
        </w:trPr>
        <w:tc>
          <w:tcPr>
            <w:tcW w:w="4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interest income</w:t>
            </w:r>
          </w:p>
        </w:tc>
        <w:tc>
          <w:tcPr>
            <w:tcW w:w="19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272</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601</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811</w:t>
            </w:r>
          </w:p>
        </w:tc>
      </w:tr>
      <w:tr>
        <w:trPr>
          <w:trHeight w:val="237"/>
        </w:trPr>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interest income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829</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5,217</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14,424</w:t>
            </w:r>
          </w:p>
        </w:tc>
      </w:tr>
      <w:tr>
        <w:trPr>
          <w:trHeight w:val="74"/>
        </w:trPr>
        <w:tc>
          <w:tcPr>
            <w:tcW w:w="482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Interest expense:</w:t>
            </w:r>
          </w:p>
        </w:tc>
        <w:tc>
          <w:tcPr>
            <w:tcW w:w="1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4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interest expense</w:t>
            </w:r>
          </w:p>
        </w:tc>
        <w:tc>
          <w:tcPr>
            <w:tcW w:w="19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698</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4,574</w:t>
            </w:r>
          </w:p>
        </w:tc>
      </w:tr>
      <w:tr>
        <w:trPr>
          <w:trHeight w:val="237"/>
        </w:trPr>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interest expense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698</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4,574</w:t>
            </w:r>
          </w:p>
        </w:tc>
      </w:tr>
      <w:tr>
        <w:trPr>
          <w:trHeight w:val="75"/>
        </w:trPr>
        <w:tc>
          <w:tcPr>
            <w:tcW w:w="4820" w:type="dxa"/>
            <w:vAlign w:val="bottom"/>
            <w:tcBorders>
              <w:bottom w:val="single" w:sz="8" w:color="auto"/>
            </w:tcBorders>
            <w:shd w:val="clear" w:color="auto" w:fill="CCEEFF"/>
          </w:tcPr>
          <w:p>
            <w:pPr>
              <w:spacing w:after="0"/>
              <w:rPr>
                <w:sz w:val="6"/>
                <w:szCs w:val="6"/>
                <w:color w:val="auto"/>
              </w:rPr>
            </w:pPr>
          </w:p>
        </w:tc>
        <w:tc>
          <w:tcPr>
            <w:tcW w:w="19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r>
      <w:tr>
        <w:trPr>
          <w:trHeight w:val="236"/>
        </w:trPr>
        <w:tc>
          <w:tcPr>
            <w:tcW w:w="4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9"/>
                <w:szCs w:val="19"/>
                <w:b w:val="1"/>
                <w:bCs w:val="1"/>
                <w:color w:val="auto"/>
              </w:rPr>
              <w:t>Net interest income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829</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4,519</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9,850</w:t>
            </w:r>
          </w:p>
        </w:tc>
      </w:tr>
      <w:tr>
        <w:trPr>
          <w:trHeight w:val="75"/>
        </w:trPr>
        <w:tc>
          <w:tcPr>
            <w:tcW w:w="4820" w:type="dxa"/>
            <w:vAlign w:val="bottom"/>
            <w:tcBorders>
              <w:bottom w:val="single" w:sz="8" w:color="auto"/>
            </w:tcBorders>
            <w:shd w:val="clear" w:color="auto" w:fill="CCEEFF"/>
          </w:tcPr>
          <w:p>
            <w:pPr>
              <w:spacing w:after="0"/>
              <w:rPr>
                <w:sz w:val="6"/>
                <w:szCs w:val="6"/>
                <w:color w:val="auto"/>
              </w:rPr>
            </w:pPr>
          </w:p>
        </w:tc>
        <w:tc>
          <w:tcPr>
            <w:tcW w:w="19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r>
      <w:tr>
        <w:trPr>
          <w:trHeight w:val="236"/>
        </w:trPr>
        <w:tc>
          <w:tcPr>
            <w:tcW w:w="4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9"/>
                <w:szCs w:val="19"/>
                <w:b w:val="1"/>
                <w:bCs w:val="1"/>
                <w:color w:val="auto"/>
              </w:rPr>
              <w:t>Total net revenue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37,914</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50,152</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61,170</w:t>
            </w:r>
          </w:p>
        </w:tc>
      </w:tr>
      <w:tr>
        <w:trPr>
          <w:trHeight w:val="75"/>
        </w:trPr>
        <w:tc>
          <w:tcPr>
            <w:tcW w:w="482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Non-interest expense:</w:t>
            </w:r>
          </w:p>
        </w:tc>
        <w:tc>
          <w:tcPr>
            <w:tcW w:w="1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Compensation and benefits</w:t>
            </w:r>
          </w:p>
        </w:tc>
        <w:tc>
          <w:tcPr>
            <w:tcW w:w="19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6,557</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6,538</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6,520</w:t>
            </w: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Marketing</w:t>
            </w:r>
          </w:p>
        </w:tc>
        <w:tc>
          <w:tcPr>
            <w:tcW w:w="196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2</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Equipment and software</w:t>
            </w:r>
          </w:p>
        </w:tc>
        <w:tc>
          <w:tcPr>
            <w:tcW w:w="19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51</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126</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246</w:t>
            </w: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96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4,612</w:t>
            </w:r>
          </w:p>
        </w:tc>
        <w:tc>
          <w:tcPr>
            <w:tcW w:w="4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8,525</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16,979</w:t>
            </w:r>
          </w:p>
        </w:tc>
      </w:tr>
      <w:tr>
        <w:trPr>
          <w:trHeight w:val="243"/>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Professional services</w:t>
            </w:r>
          </w:p>
        </w:tc>
        <w:tc>
          <w:tcPr>
            <w:tcW w:w="19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650</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669</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1,210</w:t>
            </w: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Occupancy</w:t>
            </w:r>
          </w:p>
        </w:tc>
        <w:tc>
          <w:tcPr>
            <w:tcW w:w="196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7,766</w:t>
            </w:r>
          </w:p>
        </w:tc>
        <w:tc>
          <w:tcPr>
            <w:tcW w:w="4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8,216</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9,552</w:t>
            </w:r>
          </w:p>
        </w:tc>
      </w:tr>
      <w:tr>
        <w:trPr>
          <w:trHeight w:val="243"/>
        </w:trPr>
        <w:tc>
          <w:tcPr>
            <w:tcW w:w="48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9"/>
                <w:szCs w:val="19"/>
                <w:color w:val="auto"/>
              </w:rPr>
              <w:t>Other non-interest expense</w:t>
            </w:r>
          </w:p>
        </w:tc>
        <w:tc>
          <w:tcPr>
            <w:tcW w:w="19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14,484</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21,511</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24,508</w:t>
            </w:r>
          </w:p>
        </w:tc>
      </w:tr>
      <w:tr>
        <w:trPr>
          <w:trHeight w:val="237"/>
        </w:trPr>
        <w:tc>
          <w:tcPr>
            <w:tcW w:w="4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Total non-interest expense</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34,120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45,587</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59,015</w:t>
            </w:r>
          </w:p>
        </w:tc>
      </w:tr>
      <w:tr>
        <w:trPr>
          <w:trHeight w:val="75"/>
        </w:trPr>
        <w:tc>
          <w:tcPr>
            <w:tcW w:w="482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Income before income tax benefit (expense)</w:t>
            </w:r>
          </w:p>
        </w:tc>
        <w:tc>
          <w:tcPr>
            <w:tcW w:w="196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3,794</w:t>
            </w:r>
          </w:p>
        </w:tc>
        <w:tc>
          <w:tcPr>
            <w:tcW w:w="420" w:type="dxa"/>
            <w:vAlign w:val="bottom"/>
          </w:tcPr>
          <w:p>
            <w:pPr>
              <w:spacing w:after="0"/>
              <w:rPr>
                <w:sz w:val="21"/>
                <w:szCs w:val="21"/>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4,565</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2,155</w:t>
            </w:r>
          </w:p>
        </w:tc>
      </w:tr>
      <w:tr>
        <w:trPr>
          <w:trHeight w:val="243"/>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Income tax benefit (expense)</w:t>
            </w:r>
          </w:p>
        </w:tc>
        <w:tc>
          <w:tcPr>
            <w:tcW w:w="19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233</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(912)</w:t>
            </w: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2,203</w:t>
            </w:r>
          </w:p>
        </w:tc>
      </w:tr>
      <w:tr>
        <w:trPr>
          <w:trHeight w:val="23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Income before undistributed earnings of subsidiary</w:t>
            </w: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4,027</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3,653</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4,358</w:t>
            </w:r>
          </w:p>
        </w:tc>
      </w:tr>
      <w:tr>
        <w:trPr>
          <w:trHeight w:val="236"/>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Equity in undistributed earnings of subsidiary</w:t>
            </w:r>
          </w:p>
        </w:tc>
        <w:tc>
          <w:tcPr>
            <w:tcW w:w="19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131,650</w:t>
            </w:r>
          </w:p>
        </w:tc>
        <w:tc>
          <w:tcPr>
            <w:tcW w:w="4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9"/>
                <w:szCs w:val="19"/>
                <w:color w:val="auto"/>
              </w:rPr>
              <w:t>47,677</w:t>
            </w: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34,581</w:t>
            </w:r>
          </w:p>
        </w:tc>
      </w:tr>
      <w:tr>
        <w:trPr>
          <w:trHeight w:val="23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19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135,677</w:t>
            </w:r>
          </w:p>
        </w:tc>
        <w:tc>
          <w:tcPr>
            <w:tcW w:w="4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51,330</w:t>
            </w:r>
          </w:p>
        </w:tc>
        <w:tc>
          <w:tcPr>
            <w:tcW w:w="4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38,939</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1"/>
        </w:trPr>
        <w:tc>
          <w:tcPr>
            <w:tcW w:w="4820" w:type="dxa"/>
            <w:vAlign w:val="bottom"/>
          </w:tcPr>
          <w:p>
            <w:pPr>
              <w:spacing w:after="0"/>
              <w:rPr>
                <w:sz w:val="24"/>
                <w:szCs w:val="24"/>
                <w:color w:val="auto"/>
              </w:rPr>
            </w:pPr>
          </w:p>
        </w:tc>
        <w:tc>
          <w:tcPr>
            <w:tcW w:w="1960" w:type="dxa"/>
            <w:vAlign w:val="bottom"/>
          </w:tcPr>
          <w:p>
            <w:pPr>
              <w:jc w:val="right"/>
              <w:ind w:right="927"/>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accordance with federal laws and regulations, dividends paid by LC Bank to the Company are subject to certain restrictions. See “</w:t>
      </w:r>
      <w:r>
        <w:rPr>
          <w:rFonts w:ascii="Times New Roman" w:cs="Times New Roman" w:eastAsia="Times New Roman" w:hAnsi="Times New Roman"/>
          <w:sz w:val="19"/>
          <w:szCs w:val="19"/>
          <w:i w:val="1"/>
          <w:iCs w:val="1"/>
          <w:color w:val="auto"/>
        </w:rPr>
        <w:t>Note 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Requirements</w:t>
      </w:r>
      <w:r>
        <w:rPr>
          <w:rFonts w:ascii="Times New Roman" w:cs="Times New Roman" w:eastAsia="Times New Roman" w:hAnsi="Times New Roman"/>
          <w:sz w:val="20"/>
          <w:szCs w:val="20"/>
          <w:color w:val="auto"/>
        </w:rPr>
        <w:t>”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Comprehensive Income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135,677</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38,939</w:t>
            </w:r>
          </w:p>
        </w:tc>
        <w:tc>
          <w:tcPr>
            <w:tcW w:w="0" w:type="dxa"/>
            <w:vAlign w:val="bottom"/>
          </w:tcPr>
          <w:p>
            <w:pPr>
              <w:spacing w:after="0"/>
              <w:rPr>
                <w:sz w:val="1"/>
                <w:szCs w:val="1"/>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unrealized (loss) gain on securities available for sale</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(553)</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(3,076)</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6,706</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Equity in other comprehensive income (loss) of subsidiary</w:t>
            </w:r>
          </w:p>
        </w:tc>
        <w:tc>
          <w:tcPr>
            <w:tcW w:w="1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6,636</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9,137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(1,282)</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Other comprehensive income, net of tax</w:t>
            </w:r>
          </w:p>
        </w:tc>
        <w:tc>
          <w:tcPr>
            <w:tcW w:w="1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6,083</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6,061</w:t>
            </w: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 comprehensive income</w:t>
            </w: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141,760</w:t>
            </w:r>
          </w:p>
        </w:tc>
        <w:tc>
          <w:tcPr>
            <w:tcW w:w="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57,391</w:t>
            </w:r>
          </w:p>
        </w:tc>
        <w:tc>
          <w:tcPr>
            <w:tcW w:w="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44,363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3"/>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Sheets</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6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and due from banks</w:t>
            </w: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116,190</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52,398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Interest-bearing deposits in banks</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10,897</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13,583</w:t>
            </w:r>
          </w:p>
        </w:tc>
        <w:tc>
          <w:tcPr>
            <w:tcW w:w="0" w:type="dxa"/>
            <w:vAlign w:val="bottom"/>
          </w:tcPr>
          <w:p>
            <w:pPr>
              <w:spacing w:after="0"/>
              <w:rPr>
                <w:sz w:val="1"/>
                <w:szCs w:val="1"/>
                <w:color w:val="auto"/>
              </w:rPr>
            </w:pPr>
          </w:p>
        </w:tc>
      </w:tr>
      <w:tr>
        <w:trPr>
          <w:trHeight w:val="250"/>
        </w:trPr>
        <w:tc>
          <w:tcPr>
            <w:tcW w:w="56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127,087</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Restricted cash</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16,659</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27,536</w:t>
            </w:r>
          </w:p>
        </w:tc>
        <w:tc>
          <w:tcPr>
            <w:tcW w:w="0" w:type="dxa"/>
            <w:vAlign w:val="bottom"/>
          </w:tcPr>
          <w:p>
            <w:pPr>
              <w:spacing w:after="0"/>
              <w:rPr>
                <w:sz w:val="1"/>
                <w:szCs w:val="1"/>
                <w:color w:val="auto"/>
              </w:rPr>
            </w:pPr>
          </w:p>
        </w:tc>
      </w:tr>
      <w:tr>
        <w:trPr>
          <w:trHeight w:val="257"/>
        </w:trPr>
        <w:tc>
          <w:tcPr>
            <w:tcW w:w="80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Securities available for sale at fair value ($10,083 and $0 at amortized cost, respectively)</w:t>
            </w:r>
          </w:p>
        </w:tc>
        <w:tc>
          <w:tcPr>
            <w:tcW w:w="36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10,083</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Loans held for investment at fair value</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1,013</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4,572</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equipment and software, net</w:t>
            </w: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3,920</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Investment in subsidiary</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1,260,008</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1,177,745</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Other assets</w:t>
            </w:r>
          </w:p>
        </w:tc>
        <w:tc>
          <w:tcPr>
            <w:tcW w:w="1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67,971</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118,027</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1,486,741</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1,402,398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Other liabilities</w:t>
            </w:r>
          </w:p>
        </w:tc>
        <w:tc>
          <w:tcPr>
            <w:tcW w:w="1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36,313</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60,667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liabilities</w:t>
            </w:r>
          </w:p>
        </w:tc>
        <w:tc>
          <w:tcPr>
            <w:tcW w:w="1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36,313</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60,667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w:t>
            </w:r>
          </w:p>
        </w:tc>
        <w:tc>
          <w:tcPr>
            <w:tcW w:w="1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8060" w:type="dxa"/>
            <w:vAlign w:val="bottom"/>
            <w:gridSpan w:val="3"/>
          </w:tcPr>
          <w:p>
            <w:pPr>
              <w:ind w:left="140"/>
              <w:spacing w:after="0" w:line="193" w:lineRule="exact"/>
              <w:rPr>
                <w:sz w:val="20"/>
                <w:szCs w:val="20"/>
                <w:color w:val="auto"/>
              </w:rPr>
            </w:pPr>
            <w:r>
              <w:rPr>
                <w:rFonts w:ascii="Times New Roman" w:cs="Times New Roman" w:eastAsia="Times New Roman" w:hAnsi="Times New Roman"/>
                <w:sz w:val="20"/>
                <w:szCs w:val="20"/>
                <w:color w:val="auto"/>
              </w:rPr>
              <w:t>Common stock, $0.01 par value; 180,000,000 shares authorized; 115,368,987 and 113,383,917</w:t>
            </w:r>
          </w:p>
        </w:tc>
        <w:tc>
          <w:tcPr>
            <w:tcW w:w="360" w:type="dxa"/>
            <w:vAlign w:val="bottom"/>
          </w:tcPr>
          <w:p>
            <w:pPr>
              <w:spacing w:after="0"/>
              <w:rPr>
                <w:sz w:val="16"/>
                <w:szCs w:val="16"/>
                <w:color w:val="auto"/>
              </w:rPr>
            </w:pPr>
          </w:p>
        </w:tc>
        <w:tc>
          <w:tcPr>
            <w:tcW w:w="12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1,154</w:t>
            </w:r>
          </w:p>
        </w:tc>
        <w:tc>
          <w:tcPr>
            <w:tcW w:w="4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1,134</w:t>
            </w:r>
          </w:p>
        </w:tc>
        <w:tc>
          <w:tcPr>
            <w:tcW w:w="0" w:type="dxa"/>
            <w:vAlign w:val="bottom"/>
          </w:tcPr>
          <w:p>
            <w:pPr>
              <w:spacing w:after="0"/>
              <w:rPr>
                <w:sz w:val="1"/>
                <w:szCs w:val="1"/>
                <w:color w:val="auto"/>
              </w:rPr>
            </w:pPr>
          </w:p>
        </w:tc>
      </w:tr>
      <w:tr>
        <w:trPr>
          <w:trHeight w:val="252"/>
        </w:trPr>
        <w:tc>
          <w:tcPr>
            <w:tcW w:w="56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shares issued and outstanding, respectively</w:t>
            </w: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1,719,233</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1,702,316</w:t>
            </w:r>
          </w:p>
        </w:tc>
        <w:tc>
          <w:tcPr>
            <w:tcW w:w="0" w:type="dxa"/>
            <w:vAlign w:val="bottom"/>
          </w:tcPr>
          <w:p>
            <w:pPr>
              <w:spacing w:after="0"/>
              <w:rPr>
                <w:sz w:val="1"/>
                <w:szCs w:val="1"/>
                <w:color w:val="auto"/>
              </w:rPr>
            </w:pPr>
          </w:p>
        </w:tc>
      </w:tr>
      <w:tr>
        <w:trPr>
          <w:trHeight w:val="257"/>
        </w:trPr>
        <w:tc>
          <w:tcPr>
            <w:tcW w:w="5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Accumulated deficit</w:t>
            </w: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(251,799)</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(337,476)</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(18,160)</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(24,243)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Total equity</w:t>
            </w:r>
          </w:p>
        </w:tc>
        <w:tc>
          <w:tcPr>
            <w:tcW w:w="1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1,450,428</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1,341,731</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1,486,741</w:t>
            </w:r>
          </w:p>
        </w:tc>
        <w:tc>
          <w:tcPr>
            <w:tcW w:w="4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1,402,398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(Tabular Amounts in Thousands, Except Share and Per Share Amounts, Ratios, or as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5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7"/>
        </w:trPr>
        <w:tc>
          <w:tcPr>
            <w:tcW w:w="6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Parent company net income</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135,677</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51,330</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38,939</w:t>
            </w:r>
          </w:p>
        </w:tc>
      </w:tr>
      <w:tr>
        <w:trPr>
          <w:trHeight w:val="189"/>
        </w:trPr>
        <w:tc>
          <w:tcPr>
            <w:tcW w:w="698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20"/>
                <w:szCs w:val="20"/>
                <w:color w:val="auto"/>
              </w:rPr>
              <w:t>Adjustments to reconcile net income to net cash (used for) provided by operating</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57"/>
        </w:trPr>
        <w:tc>
          <w:tcPr>
            <w:tcW w:w="6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activities:</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7"/>
        </w:trPr>
        <w:tc>
          <w:tcPr>
            <w:tcW w:w="6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Equity in undistributed earnings of subsidiary</w:t>
            </w: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(131,650)</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(47,677)</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(34,581)</w:t>
            </w:r>
          </w:p>
        </w:tc>
      </w:tr>
      <w:tr>
        <w:trPr>
          <w:trHeight w:val="257"/>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Net fair value adjustments</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(4,526)</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(2,716)</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(2,903)</w:t>
            </w:r>
          </w:p>
        </w:tc>
      </w:tr>
      <w:tr>
        <w:trPr>
          <w:trHeight w:val="256"/>
        </w:trPr>
        <w:tc>
          <w:tcPr>
            <w:tcW w:w="6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Change in fair value of loan servicing assets</w:t>
            </w:r>
          </w:p>
        </w:tc>
        <w:tc>
          <w:tcPr>
            <w:tcW w:w="4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31,024</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40,590</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50,281</w:t>
            </w:r>
          </w:p>
        </w:tc>
      </w:tr>
      <w:tr>
        <w:trPr>
          <w:trHeight w:val="257"/>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Stock-based compensation, net</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4,230</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4,505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5,253</w:t>
            </w:r>
          </w:p>
        </w:tc>
      </w:tr>
      <w:tr>
        <w:trPr>
          <w:trHeight w:val="257"/>
        </w:trPr>
        <w:tc>
          <w:tcPr>
            <w:tcW w:w="6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4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4,612</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8,525</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16,979</w:t>
            </w:r>
          </w:p>
        </w:tc>
      </w:tr>
      <w:tr>
        <w:trPr>
          <w:trHeight w:val="257"/>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Other, net</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r>
      <w:tr>
        <w:trPr>
          <w:trHeight w:val="257"/>
        </w:trPr>
        <w:tc>
          <w:tcPr>
            <w:tcW w:w="6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change to loans held for sale</w:t>
            </w:r>
          </w:p>
        </w:tc>
        <w:tc>
          <w:tcPr>
            <w:tcW w:w="4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1,121</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5,953</w:t>
            </w:r>
          </w:p>
        </w:tc>
      </w:tr>
      <w:tr>
        <w:trPr>
          <w:trHeight w:val="25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change in operating assets and liabilities:</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7"/>
        </w:trPr>
        <w:tc>
          <w:tcPr>
            <w:tcW w:w="6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Other assets</w:t>
            </w: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(43,322)</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(57,859)</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(32,805)</w:t>
            </w:r>
          </w:p>
        </w:tc>
      </w:tr>
      <w:tr>
        <w:trPr>
          <w:trHeight w:val="257"/>
        </w:trPr>
        <w:tc>
          <w:tcPr>
            <w:tcW w:w="6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20"/>
                <w:szCs w:val="20"/>
                <w:color w:val="auto"/>
              </w:rPr>
              <w:t>Other liabilities</w:t>
            </w:r>
          </w:p>
        </w:tc>
        <w:tc>
          <w:tcPr>
            <w:tcW w:w="4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(24,487)</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(26,349)</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(30,741)</w:t>
            </w:r>
          </w:p>
        </w:tc>
      </w:tr>
      <w:tr>
        <w:trPr>
          <w:trHeight w:val="250"/>
        </w:trPr>
        <w:tc>
          <w:tcPr>
            <w:tcW w:w="69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0"/>
                <w:szCs w:val="20"/>
                <w:color w:val="auto"/>
              </w:rPr>
              <w:t>Net cash (used for) provided by operating activities</w:t>
            </w: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(28,438)</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(28,525)</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16,649</w:t>
            </w:r>
          </w:p>
        </w:tc>
      </w:tr>
      <w:tr>
        <w:trPr>
          <w:trHeight w:val="25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7"/>
        </w:trPr>
        <w:tc>
          <w:tcPr>
            <w:tcW w:w="6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(payments for) investments in and advances to subsidiary</w:t>
            </w:r>
          </w:p>
        </w:tc>
        <w:tc>
          <w:tcPr>
            <w:tcW w:w="4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50,000</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Purchase of servicing asset investment</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(47,450)</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(50,576)</w:t>
            </w:r>
          </w:p>
        </w:tc>
      </w:tr>
      <w:tr>
        <w:trPr>
          <w:trHeight w:val="256"/>
        </w:trPr>
        <w:tc>
          <w:tcPr>
            <w:tcW w:w="6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servicing asset investment</w:t>
            </w:r>
          </w:p>
        </w:tc>
        <w:tc>
          <w:tcPr>
            <w:tcW w:w="4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54,278</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72,718</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72,343</w:t>
            </w:r>
          </w:p>
        </w:tc>
      </w:tr>
      <w:tr>
        <w:trPr>
          <w:trHeight w:val="257"/>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Net change in loans held for investment</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6,482</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16,081</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52,611</w:t>
            </w:r>
          </w:p>
        </w:tc>
      </w:tr>
      <w:tr>
        <w:trPr>
          <w:trHeight w:val="256"/>
        </w:trPr>
        <w:tc>
          <w:tcPr>
            <w:tcW w:w="6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Purchases of securities available for sale</w:t>
            </w: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Proceeds from maturities and paydowns of securities available for sale</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264</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7,861</w:t>
            </w:r>
          </w:p>
        </w:tc>
      </w:tr>
      <w:tr>
        <w:trPr>
          <w:trHeight w:val="257"/>
        </w:trPr>
        <w:tc>
          <w:tcPr>
            <w:tcW w:w="6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investing activities</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w:t>
            </w:r>
          </w:p>
        </w:tc>
      </w:tr>
      <w:tr>
        <w:trPr>
          <w:trHeight w:val="250"/>
        </w:trPr>
        <w:tc>
          <w:tcPr>
            <w:tcW w:w="69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Net cash provided by (used for) investing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100,760</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(8,387)</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82,439</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7"/>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Principal payments on borrowings</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(12,804)</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(54,237)</w:t>
            </w:r>
          </w:p>
        </w:tc>
      </w:tr>
      <w:tr>
        <w:trPr>
          <w:trHeight w:val="257"/>
        </w:trPr>
        <w:tc>
          <w:tcPr>
            <w:tcW w:w="6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Other financing activities</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(22,093)</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(13,668)</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(19,834)</w:t>
            </w:r>
          </w:p>
        </w:tc>
      </w:tr>
      <w:tr>
        <w:trPr>
          <w:trHeight w:val="250"/>
        </w:trPr>
        <w:tc>
          <w:tcPr>
            <w:tcW w:w="69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20"/>
                <w:szCs w:val="20"/>
                <w:color w:val="auto"/>
              </w:rPr>
              <w:t>Net cash used for financing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(22,093)</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(26,472)</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(74,071)</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 (decrease) in cash, cash equivalents and restricted cash</w:t>
            </w:r>
          </w:p>
        </w:tc>
        <w:tc>
          <w:tcPr>
            <w:tcW w:w="4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50,229</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(63,384)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25,017</w:t>
            </w:r>
          </w:p>
        </w:tc>
      </w:tr>
      <w:tr>
        <w:trPr>
          <w:trHeight w:val="257"/>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beginning of period</w:t>
            </w:r>
          </w:p>
        </w:tc>
        <w:tc>
          <w:tcPr>
            <w:tcW w:w="4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93,517</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156,901</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131,884</w:t>
            </w:r>
          </w:p>
        </w:tc>
      </w:tr>
      <w:tr>
        <w:trPr>
          <w:trHeight w:val="250"/>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period</w:t>
            </w:r>
          </w:p>
        </w:tc>
        <w:tc>
          <w:tcPr>
            <w:tcW w:w="4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143,746</w:t>
            </w: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93,517</w:t>
            </w:r>
          </w:p>
        </w:tc>
        <w:tc>
          <w:tcPr>
            <w:tcW w:w="3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156,901</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cash, cash equivalents and restricted cash by category within the Parent Company balance sheet: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tcBorders>
              <w:top w:val="single" w:sz="8" w:color="auto"/>
              <w:bottom w:val="single" w:sz="8" w:color="auto"/>
            </w:tcBorders>
          </w:tcPr>
          <w:p>
            <w:pPr>
              <w:spacing w:after="0"/>
              <w:rPr>
                <w:sz w:val="23"/>
                <w:szCs w:val="23"/>
                <w:color w:val="auto"/>
              </w:rPr>
            </w:pPr>
          </w:p>
        </w:tc>
        <w:tc>
          <w:tcPr>
            <w:tcW w:w="4760" w:type="dxa"/>
            <w:vAlign w:val="bottom"/>
            <w:tcBorders>
              <w:top w:val="single" w:sz="8" w:color="auto"/>
              <w:bottom w:val="single" w:sz="8" w:color="auto"/>
            </w:tcBorders>
            <w:gridSpan w:val="2"/>
          </w:tcPr>
          <w:p>
            <w:pPr>
              <w:ind w:left="30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7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58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127,087</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65,981</w:t>
            </w:r>
          </w:p>
        </w:tc>
      </w:tr>
      <w:tr>
        <w:trPr>
          <w:trHeight w:val="25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Restricted cash</w:t>
            </w:r>
          </w:p>
        </w:tc>
        <w:tc>
          <w:tcPr>
            <w:tcW w:w="35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16,659</w:t>
            </w: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27,536</w:t>
            </w:r>
          </w:p>
        </w:tc>
      </w:tr>
      <w:tr>
        <w:trPr>
          <w:trHeight w:val="275"/>
        </w:trPr>
        <w:tc>
          <w:tcPr>
            <w:tcW w:w="4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580" w:type="dxa"/>
            <w:vAlign w:val="bottom"/>
            <w:tcBorders>
              <w:bottom w:val="single" w:sz="8" w:color="auto"/>
            </w:tcBorders>
            <w:shd w:val="clear" w:color="auto" w:fill="CCEEFF"/>
          </w:tcPr>
          <w:p>
            <w:pPr>
              <w:ind w:left="30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143,746</w:t>
            </w: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93,517</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4780" w:type="dxa"/>
            <w:vAlign w:val="bottom"/>
          </w:tcPr>
          <w:p>
            <w:pPr>
              <w:spacing w:after="0"/>
              <w:rPr>
                <w:sz w:val="24"/>
                <w:szCs w:val="24"/>
                <w:color w:val="auto"/>
              </w:rPr>
            </w:pPr>
          </w:p>
        </w:tc>
        <w:tc>
          <w:tcPr>
            <w:tcW w:w="3580" w:type="dxa"/>
            <w:vAlign w:val="bottom"/>
          </w:tcPr>
          <w:p>
            <w:pPr>
              <w:jc w:val="right"/>
              <w:ind w:right="2503"/>
              <w:spacing w:after="0"/>
              <w:rPr>
                <w:sz w:val="20"/>
                <w:szCs w:val="20"/>
                <w:color w:val="auto"/>
              </w:rPr>
            </w:pPr>
            <w:r>
              <w:rPr>
                <w:rFonts w:ascii="Times New Roman" w:cs="Times New Roman" w:eastAsia="Times New Roman" w:hAnsi="Times New Roman"/>
                <w:sz w:val="18"/>
                <w:szCs w:val="18"/>
                <w:color w:val="auto"/>
              </w:rPr>
              <w:t>143</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4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Company’s management evaluated, with the participation of the Company’s Chief Executive Officer (CEO) and Chief Financial Officer (CFO), the effectiveness of the Company’s disclosure controls and procedures (as defined in Rule 13a-15(e) under the Exchange Act) as of December 31, 2025. In designing and evaluating its disclosure controls and procedures, the Company’s management recognizes that any controls and procedures, no matter how well designed and operated, can provide only reasonable assurance, not absolute assurance, of achieving the desired control objectives, and is required to apply its judgment in evaluating the cost-benefit relationship of possible controls and procedures.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Based on the evaluation, the Company’s CEO and CFO concluded that the Company’s disclosure controls and procedures as of December 31, 2025, were designed and functioned effectively to provide reasonable assurance that the information required to be disclosed by the Company in reports filed under the Exchange Act is (i) recorded, processed, summarized, and reported within the time periods specified in the SEC’s rules and forms, and (ii) accumulated and communicated to management, including the principal executive and principal financial officers,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6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assessing the effectiveness of internal control over financial reporting, as defined in Rule 13a-15(f) of the Exchange Act. Under the supervision and with the participation of the Company’s CEO and CFO, management conducted an evaluation of the effectiveness of its internal control over financial reporting as of December 31, 2025, based on the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 Deloitte &amp; Touche LLP, has independently audited the effectiveness of our internal control over financial reporting and its report is included below.</w:t>
      </w:r>
    </w:p>
    <w:p>
      <w:pPr>
        <w:spacing w:after="0" w:line="2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No change in the Company’s internal control over financial reporting (as defined in Rule 13a-15(f) under the Exchange Act) occurred during the fiscal quarter ended December 31,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LendingClub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LendingClub Corporation and subsidiaries (the “Company”) as of December 31, 2025,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COSO.</w:t>
      </w:r>
    </w:p>
    <w:p>
      <w:pPr>
        <w:spacing w:after="0" w:line="2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2025, of the Company and our report dated February 12, 2026, expressed an unqualified opinion on those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9"/>
          <w:szCs w:val="19"/>
          <w:i w:val="1"/>
          <w:iCs w:val="1"/>
          <w:color w:val="auto"/>
        </w:rPr>
        <w:t>Management’s Annual Report on Internal 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over Financial Reporting</w:t>
      </w:r>
      <w:r>
        <w:rPr>
          <w:rFonts w:ascii="Times New Roman" w:cs="Times New Roman" w:eastAsia="Times New Roman" w:hAnsi="Times New Roman"/>
          <w:sz w:val="19"/>
          <w:szCs w:val="19"/>
          <w:color w:val="auto"/>
        </w:rPr>
        <w:t>. Our responsibility is to express an opinion on the Company’s internal control over financial reporting based on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23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4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2026</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trading arrangements intended to satisfy the affirmative defense conditions of Rule 10b5-1(c) adopted by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directors and executive officers during the fourth quarter of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Aggregate Number of</w:t>
            </w:r>
          </w:p>
        </w:tc>
      </w:tr>
      <w:tr>
        <w:trPr>
          <w:trHeight w:val="29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 and Title</w:t>
            </w:r>
          </w:p>
        </w:tc>
        <w:tc>
          <w:tcPr>
            <w:tcW w:w="266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20"/>
                <w:szCs w:val="20"/>
                <w:b w:val="1"/>
                <w:bCs w:val="1"/>
                <w:color w:val="auto"/>
                <w:w w:val="99"/>
              </w:rPr>
              <w:t>Adoption Date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 Date</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Shares to be Sold</w:t>
            </w:r>
          </w:p>
        </w:tc>
      </w:tr>
      <w:tr>
        <w:trPr>
          <w:trHeight w:val="264"/>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Fergal Stack, Principal Accounting Officer</w:t>
            </w:r>
          </w:p>
        </w:tc>
        <w:tc>
          <w:tcPr>
            <w:tcW w:w="2660" w:type="dxa"/>
            <w:vAlign w:val="bottom"/>
            <w:tcBorders>
              <w:bottom w:val="single" w:sz="8" w:color="auto"/>
            </w:tcBorders>
            <w:shd w:val="clear" w:color="auto" w:fill="CCEEFF"/>
          </w:tcPr>
          <w:p>
            <w:pPr>
              <w:jc w:val="center"/>
              <w:ind w:left="381"/>
              <w:spacing w:after="0"/>
              <w:rPr>
                <w:sz w:val="20"/>
                <w:szCs w:val="20"/>
                <w:color w:val="auto"/>
              </w:rPr>
            </w:pPr>
            <w:r>
              <w:rPr>
                <w:rFonts w:ascii="Times New Roman" w:cs="Times New Roman" w:eastAsia="Times New Roman" w:hAnsi="Times New Roman"/>
                <w:sz w:val="20"/>
                <w:szCs w:val="20"/>
                <w:color w:val="auto"/>
                <w:w w:val="99"/>
              </w:rPr>
              <w:t>November 13, 2025</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May 13, 2026</w:t>
            </w:r>
          </w:p>
        </w:tc>
        <w:tc>
          <w:tcPr>
            <w:tcW w:w="2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Up to 115,000</w:t>
            </w:r>
          </w:p>
        </w:tc>
      </w:tr>
    </w:tbl>
    <w:p>
      <w:pPr>
        <w:spacing w:after="0" w:line="30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0"/>
          <w:szCs w:val="20"/>
          <w:color w:val="auto"/>
        </w:rPr>
        <w:t>Other than disclosed above, during the fourth quarter of 2025, none of the Company’s directors or executive officers adopted or terminated any contract, instruction or written plan for the purchase or sale of the Company’s securities that was intended to satisfy the affirmative defense conditions of Rule 10b5-1(c) or any “non-Rule 10b5-1 trading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0" w:lineRule="exact"/>
        <w:rPr>
          <w:sz w:val="20"/>
          <w:szCs w:val="20"/>
          <w:color w:val="auto"/>
        </w:rPr>
      </w:pPr>
    </w:p>
    <w:p>
      <w:pPr>
        <w:jc w:val="both"/>
        <w:ind w:right="740"/>
        <w:spacing w:after="0" w:line="261" w:lineRule="auto"/>
        <w:rPr>
          <w:sz w:val="20"/>
          <w:szCs w:val="20"/>
          <w:color w:val="auto"/>
        </w:rPr>
      </w:pPr>
      <w:r>
        <w:rPr>
          <w:rFonts w:ascii="Times New Roman" w:cs="Times New Roman" w:eastAsia="Times New Roman" w:hAnsi="Times New Roman"/>
          <w:sz w:val="20"/>
          <w:szCs w:val="20"/>
          <w:color w:val="auto"/>
        </w:rPr>
        <w:t>The information required by Item 10 will be included in our definitive proxy statement with respect to our 2026 Annual Meeting of Stockholders (Proxy Statement) and is incorporated herein by reference. The Proxy Statement will be filed with the SEC pursuant to Regulation 14A within 120 days of the end of the 2025 fiscal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6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9"/>
          <w:szCs w:val="19"/>
          <w:color w:val="auto"/>
        </w:rPr>
        <w:t>The information required by Item 11 will be included in the Proxy Statement under the headings “Board of Directors and Corporate Governance – Compensation Committee Interlocks and Insider Participation,” “Board of Directors and Corporate Governance – Director Compensation,” “Executive Compensation” and “Report of the Compensation Committee,”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The information required by Item 12 will be included in the Proxy Statement under the headings “Security Ownership of Certain Beneficial Owners and Management” and “Executive Compensation – Securities Authorized for Issuance Under Equity Compensation Plans,” and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6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 13 will be included in the Proxy Statement under the headings “Related Party Transactions” and “Board of Directors and Corporate Governance – Director Independence,” and is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information required by Item 14 will be included in the Proxy Statement under the heading “Ratification of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0" w:name="page151"/>
    <w:bookmarkEnd w:id="15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Documents filed as part of this Annual Report:</w:t>
      </w:r>
    </w:p>
    <w:p>
      <w:pPr>
        <w:spacing w:after="0" w:line="256"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Financial Statements</w:t>
      </w:r>
    </w:p>
    <w:p>
      <w:pPr>
        <w:spacing w:after="0" w:line="239" w:lineRule="exact"/>
        <w:rPr>
          <w:sz w:val="20"/>
          <w:szCs w:val="20"/>
          <w:color w:val="auto"/>
        </w:rPr>
      </w:pPr>
    </w:p>
    <w:p>
      <w:pPr>
        <w:ind w:left="420"/>
        <w:spacing w:after="0" w:line="287" w:lineRule="auto"/>
        <w:rPr>
          <w:sz w:val="20"/>
          <w:szCs w:val="20"/>
          <w:color w:val="auto"/>
        </w:rPr>
      </w:pPr>
      <w:r>
        <w:rPr>
          <w:rFonts w:ascii="Times New Roman" w:cs="Times New Roman" w:eastAsia="Times New Roman" w:hAnsi="Times New Roman"/>
          <w:sz w:val="20"/>
          <w:szCs w:val="20"/>
          <w:color w:val="auto"/>
        </w:rPr>
        <w:t>Consolidated Financial Statements of the Company and the related notes are included under “</w:t>
      </w:r>
      <w:r>
        <w:rPr>
          <w:rFonts w:ascii="Times New Roman" w:cs="Times New Roman" w:eastAsia="Times New Roman" w:hAnsi="Times New Roman"/>
          <w:sz w:val="20"/>
          <w:szCs w:val="20"/>
          <w:i w:val="1"/>
          <w:iCs w:val="1"/>
          <w:color w:val="auto"/>
        </w:rPr>
        <w:t>Part II – Item 8.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Supplementary Data” </w:t>
      </w:r>
      <w:r>
        <w:rPr>
          <w:rFonts w:ascii="Times New Roman" w:cs="Times New Roman" w:eastAsia="Times New Roman" w:hAnsi="Times New Roman"/>
          <w:sz w:val="20"/>
          <w:szCs w:val="20"/>
          <w:color w:val="auto"/>
        </w:rPr>
        <w:t>of this Annual Report.</w:t>
      </w:r>
    </w:p>
    <w:p>
      <w:pPr>
        <w:spacing w:after="0" w:line="18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Financial Statement Schedules</w:t>
      </w:r>
    </w:p>
    <w:p>
      <w:pPr>
        <w:spacing w:after="0" w:line="243" w:lineRule="exact"/>
        <w:rPr>
          <w:sz w:val="20"/>
          <w:szCs w:val="20"/>
          <w:color w:val="auto"/>
        </w:rPr>
      </w:pPr>
    </w:p>
    <w:p>
      <w:pPr>
        <w:ind w:left="420" w:right="360"/>
        <w:spacing w:after="0" w:line="310" w:lineRule="auto"/>
        <w:rPr>
          <w:sz w:val="20"/>
          <w:szCs w:val="20"/>
          <w:color w:val="auto"/>
        </w:rPr>
      </w:pPr>
      <w:r>
        <w:rPr>
          <w:rFonts w:ascii="Times New Roman" w:cs="Times New Roman" w:eastAsia="Times New Roman" w:hAnsi="Times New Roman"/>
          <w:sz w:val="19"/>
          <w:szCs w:val="19"/>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151"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Exhibits</w:t>
      </w:r>
    </w:p>
    <w:p>
      <w:pPr>
        <w:spacing w:after="0" w:line="256" w:lineRule="exact"/>
        <w:rPr>
          <w:sz w:val="20"/>
          <w:szCs w:val="20"/>
          <w:color w:val="auto"/>
        </w:rPr>
      </w:pPr>
    </w:p>
    <w:p>
      <w:pPr>
        <w:ind w:left="420" w:right="180"/>
        <w:spacing w:after="0" w:line="283" w:lineRule="auto"/>
        <w:rPr>
          <w:sz w:val="20"/>
          <w:szCs w:val="20"/>
          <w:color w:val="auto"/>
        </w:rPr>
      </w:pPr>
      <w:r>
        <w:rPr>
          <w:rFonts w:ascii="Times New Roman" w:cs="Times New Roman" w:eastAsia="Times New Roman" w:hAnsi="Times New Roman"/>
          <w:sz w:val="20"/>
          <w:szCs w:val="20"/>
          <w:color w:val="auto"/>
        </w:rPr>
        <w:t>The documents listed in the Exhibit Index of this Annual Report are incorporated by reference or are filed with this Annual Report, in each case as indicated therein on the Exhibit Index immediately following the signature page of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LENDINGCLUB CORPORATION</w:t>
      </w:r>
    </w:p>
    <w:p>
      <w:pPr>
        <w:spacing w:after="0" w:line="297" w:lineRule="exact"/>
        <w:rPr>
          <w:sz w:val="20"/>
          <w:szCs w:val="20"/>
          <w:color w:val="auto"/>
        </w:rPr>
      </w:pPr>
    </w:p>
    <w:tbl>
      <w:tblPr>
        <w:tblLayout w:type="fixed"/>
        <w:tblInd w:w="5840" w:type="dxa"/>
        <w:tblCellMar>
          <w:top w:w="0" w:type="dxa"/>
          <w:left w:w="0" w:type="dxa"/>
          <w:bottom w:w="0" w:type="dxa"/>
          <w:right w:w="0" w:type="dxa"/>
        </w:tblCellMar>
      </w:tblPr>
      <w:tr>
        <w:trPr>
          <w:trHeight w:val="262"/>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20" w:type="dxa"/>
            <w:vAlign w:val="bottom"/>
          </w:tcPr>
          <w:p>
            <w:pPr>
              <w:spacing w:after="0"/>
              <w:rPr>
                <w:sz w:val="22"/>
                <w:szCs w:val="22"/>
                <w:color w:val="auto"/>
              </w:rPr>
            </w:pP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Scott Sanborn</w:t>
            </w:r>
          </w:p>
        </w:tc>
      </w:tr>
      <w:tr>
        <w:trPr>
          <w:trHeight w:val="227"/>
        </w:trPr>
        <w:tc>
          <w:tcPr>
            <w:tcW w:w="400" w:type="dxa"/>
            <w:vAlign w:val="bottom"/>
          </w:tcPr>
          <w:p>
            <w:pPr>
              <w:spacing w:after="0"/>
              <w:rPr>
                <w:sz w:val="19"/>
                <w:szCs w:val="19"/>
                <w:color w:val="auto"/>
              </w:rPr>
            </w:pPr>
          </w:p>
        </w:tc>
        <w:tc>
          <w:tcPr>
            <w:tcW w:w="496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20"/>
                <w:szCs w:val="20"/>
                <w:color w:val="auto"/>
              </w:rPr>
              <w:t>Scott Sanborn</w:t>
            </w:r>
          </w:p>
        </w:tc>
      </w:tr>
      <w:tr>
        <w:trPr>
          <w:trHeight w:val="262"/>
        </w:trPr>
        <w:tc>
          <w:tcPr>
            <w:tcW w:w="400" w:type="dxa"/>
            <w:vAlign w:val="bottom"/>
          </w:tcPr>
          <w:p>
            <w:pPr>
              <w:spacing w:after="0"/>
              <w:rPr>
                <w:sz w:val="22"/>
                <w:szCs w:val="22"/>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20"/>
                <w:szCs w:val="20"/>
                <w:i w:val="1"/>
                <w:iCs w:val="1"/>
                <w:color w:val="auto"/>
              </w:rPr>
              <w:t>Chief Executive Officer</w:t>
            </w:r>
          </w:p>
        </w:tc>
      </w:tr>
    </w:tbl>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Scott Sanborn and Andrew LaBenne, jointly and severally, his or her attorney-in-fact, with the power of substitution, for him or her in any and all capacities, to sign any amendments to this Annual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2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has been signed below by the following persons on behalf of the registrant and in the capacities and on the dates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28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Date</w:t>
            </w:r>
          </w:p>
        </w:tc>
      </w:tr>
      <w:tr>
        <w:trPr>
          <w:trHeight w:val="53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Scott Sanborn</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Scott Sanborn</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Andrew LaBenne</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Chief Financial Officer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Andrew LaBenne</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Fergal Stack</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Fergal Stack</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Faiz Ahmad</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Faiz Ahmad</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Stephen Cutler</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Stephen Cutler</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Allan Landon</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Allan Landon</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Timothy J. Mayopoulos</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Timothy J. Mayopoulos</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C. Morris</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C. Morris</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Kathryn S. Reimann</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Kathryn S. Reimann</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Erin Selleck</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Erin Selleck</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Janey Whiteside</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Janey Whiteside</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30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Michael Zeisser</w:t>
            </w:r>
          </w:p>
        </w:tc>
        <w:tc>
          <w:tcPr>
            <w:tcW w:w="3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2840" w:type="dxa"/>
            <w:vAlign w:val="bottom"/>
          </w:tcPr>
          <w:p>
            <w:pPr>
              <w:ind w:left="1380"/>
              <w:spacing w:after="0"/>
              <w:rPr>
                <w:sz w:val="20"/>
                <w:szCs w:val="20"/>
                <w:color w:val="auto"/>
              </w:rPr>
            </w:pPr>
            <w:r>
              <w:rPr>
                <w:rFonts w:ascii="Times New Roman" w:cs="Times New Roman" w:eastAsia="Times New Roman" w:hAnsi="Times New Roman"/>
                <w:sz w:val="20"/>
                <w:szCs w:val="20"/>
                <w:color w:val="auto"/>
                <w:w w:val="97"/>
              </w:rPr>
              <w:t>February 12, 2026</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Michael Zeisser</w:t>
            </w:r>
          </w:p>
        </w:tc>
        <w:tc>
          <w:tcPr>
            <w:tcW w:w="3960" w:type="dxa"/>
            <w:vAlign w:val="bottom"/>
          </w:tcPr>
          <w:p>
            <w:pPr>
              <w:spacing w:after="0"/>
              <w:rPr>
                <w:sz w:val="22"/>
                <w:szCs w:val="22"/>
                <w:color w:val="auto"/>
              </w:rPr>
            </w:pPr>
          </w:p>
        </w:tc>
        <w:tc>
          <w:tcPr>
            <w:tcW w:w="28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60" w:type="dxa"/>
            <w:vAlign w:val="bottom"/>
            <w:tcBorders>
              <w:bottom w:val="single" w:sz="8" w:color="auto"/>
            </w:tcBorders>
          </w:tcPr>
          <w:p>
            <w:pPr>
              <w:spacing w:after="0"/>
              <w:rPr>
                <w:sz w:val="24"/>
                <w:szCs w:val="24"/>
                <w:color w:val="auto"/>
              </w:rPr>
            </w:pPr>
          </w:p>
        </w:tc>
        <w:tc>
          <w:tcPr>
            <w:tcW w:w="8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69"/>
        </w:trPr>
        <w:tc>
          <w:tcPr>
            <w:tcW w:w="1360" w:type="dxa"/>
            <w:vAlign w:val="bottom"/>
          </w:tcPr>
          <w:p>
            <w:pPr>
              <w:jc w:val="center"/>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4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60" w:type="dxa"/>
            <w:vAlign w:val="bottom"/>
          </w:tcPr>
          <w:p>
            <w:pPr>
              <w:jc w:val="center"/>
              <w:ind w:right="4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36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0</wp:posOffset>
            </wp:positionV>
            <wp:extent cx="7132320" cy="3860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ectPr>
          <w:pgSz w:w="11900" w:h="16838" w:orient="portrait"/>
          <w:cols w:equalWidth="0" w:num="1">
            <w:col w:w="10940"/>
          </w:cols>
          <w:pgMar w:left="480" w:top="356" w:right="479" w:bottom="1440" w:gutter="0" w:footer="0" w:header="0"/>
        </w:sectPr>
      </w:pPr>
    </w:p>
    <w:tbl>
      <w:tblPr>
        <w:tblLayout w:type="fixed"/>
        <w:tblInd w:w="160" w:type="dxa"/>
        <w:tblCellMar>
          <w:top w:w="0" w:type="dxa"/>
          <w:left w:w="0" w:type="dxa"/>
          <w:bottom w:w="0" w:type="dxa"/>
          <w:right w:w="0" w:type="dxa"/>
        </w:tblCellMar>
      </w:tblPr>
      <w:tr>
        <w:trPr>
          <w:trHeight w:val="203"/>
        </w:trPr>
        <w:tc>
          <w:tcPr>
            <w:tcW w:w="320" w:type="dxa"/>
            <w:vAlign w:val="bottom"/>
            <w:gridSpan w:val="2"/>
          </w:tcPr>
          <w:p>
            <w:pPr>
              <w:jc w:val="center"/>
              <w:spacing w:after="0" w:line="202"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340" w:type="dxa"/>
            <w:vAlign w:val="bottom"/>
          </w:tcPr>
          <w:p>
            <w:pPr>
              <w:spacing w:after="0"/>
              <w:rPr>
                <w:sz w:val="17"/>
                <w:szCs w:val="17"/>
                <w:color w:val="auto"/>
              </w:rPr>
            </w:pPr>
          </w:p>
        </w:tc>
        <w:tc>
          <w:tcPr>
            <w:tcW w:w="3920" w:type="dxa"/>
            <w:vAlign w:val="bottom"/>
            <w:gridSpan w:val="15"/>
          </w:tcPr>
          <w:p>
            <w:pPr>
              <w:spacing w:after="0" w:line="20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Eighth Amended and Restated Certificate of</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Incorporation of LendingClub Corporation,</w:t>
              </w:r>
            </w:hyperlink>
          </w:p>
        </w:tc>
        <w:tc>
          <w:tcPr>
            <w:tcW w:w="720" w:type="dxa"/>
            <w:vAlign w:val="bottom"/>
            <w:gridSpan w:val="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effective</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July 30, 2024</w:t>
              </w:r>
            </w:hyperlink>
          </w:p>
        </w:tc>
        <w:tc>
          <w:tcPr>
            <w:tcW w:w="28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gridSpan w:val="2"/>
            <w:vMerge w:val="restart"/>
          </w:tcPr>
          <w:p>
            <w:pPr>
              <w:jc w:val="center"/>
              <w:spacing w:after="0"/>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340" w:type="dxa"/>
            <w:vAlign w:val="bottom"/>
          </w:tcPr>
          <w:p>
            <w:pPr>
              <w:spacing w:after="0"/>
              <w:rPr>
                <w:sz w:val="19"/>
                <w:szCs w:val="19"/>
                <w:color w:val="auto"/>
              </w:rPr>
            </w:pPr>
          </w:p>
        </w:tc>
        <w:tc>
          <w:tcPr>
            <w:tcW w:w="3920" w:type="dxa"/>
            <w:vAlign w:val="bottom"/>
            <w:gridSpan w:val="1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Bylaws of the Company,</w:t>
              </w:r>
            </w:hyperlink>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2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920" w:type="dxa"/>
            <w:vAlign w:val="bottom"/>
            <w:gridSpan w:val="15"/>
            <w:vMerge w:val="restart"/>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effective March 22, 2018</w:t>
              </w:r>
            </w:hyperlink>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40" w:type="dxa"/>
            <w:vAlign w:val="bottom"/>
          </w:tcPr>
          <w:p>
            <w:pPr>
              <w:spacing w:after="0"/>
              <w:rPr>
                <w:sz w:val="5"/>
                <w:szCs w:val="5"/>
                <w:color w:val="auto"/>
              </w:rPr>
            </w:pPr>
          </w:p>
        </w:tc>
        <w:tc>
          <w:tcPr>
            <w:tcW w:w="39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vMerge w:val="restart"/>
          </w:tcPr>
          <w:p>
            <w:pPr>
              <w:jc w:val="center"/>
              <w:spacing w:after="0"/>
              <w:rPr>
                <w:rFonts w:ascii="Times New Roman" w:cs="Times New Roman" w:eastAsia="Times New Roman" w:hAnsi="Times New Roman"/>
                <w:sz w:val="18"/>
                <w:szCs w:val="18"/>
                <w:color w:val="0000FF"/>
                <w:w w:val="97"/>
              </w:rPr>
            </w:pPr>
            <w:hyperlink r:id="rId18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340" w:type="dxa"/>
            <w:vAlign w:val="bottom"/>
          </w:tcPr>
          <w:p>
            <w:pPr>
              <w:spacing w:after="0"/>
              <w:rPr>
                <w:sz w:val="19"/>
                <w:szCs w:val="19"/>
                <w:color w:val="auto"/>
              </w:rPr>
            </w:pPr>
          </w:p>
        </w:tc>
        <w:tc>
          <w:tcPr>
            <w:tcW w:w="3920" w:type="dxa"/>
            <w:vAlign w:val="bottom"/>
            <w:gridSpan w:val="1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Common Stock Certificate of LendingClub</w:t>
              </w:r>
            </w:hyperlink>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2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920" w:type="dxa"/>
            <w:vAlign w:val="bottom"/>
            <w:gridSpan w:val="15"/>
            <w:vMerge w:val="restart"/>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Corporation</w:t>
              </w:r>
            </w:hyperlink>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40" w:type="dxa"/>
            <w:vAlign w:val="bottom"/>
          </w:tcPr>
          <w:p>
            <w:pPr>
              <w:spacing w:after="0"/>
              <w:rPr>
                <w:sz w:val="5"/>
                <w:szCs w:val="5"/>
                <w:color w:val="auto"/>
              </w:rPr>
            </w:pPr>
          </w:p>
        </w:tc>
        <w:tc>
          <w:tcPr>
            <w:tcW w:w="39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20" w:type="dxa"/>
            <w:vAlign w:val="bottom"/>
            <w:gridSpan w:val="1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Description of Registrant’s Securities Registered</w:t>
              </w:r>
            </w:hyperlink>
          </w:p>
        </w:tc>
        <w:tc>
          <w:tcPr>
            <w:tcW w:w="0" w:type="dxa"/>
            <w:vAlign w:val="bottom"/>
          </w:tcPr>
          <w:p>
            <w:pPr>
              <w:spacing w:after="0"/>
              <w:rPr>
                <w:sz w:val="1"/>
                <w:szCs w:val="1"/>
                <w:color w:val="auto"/>
              </w:rPr>
            </w:pPr>
          </w:p>
        </w:tc>
      </w:tr>
      <w:tr>
        <w:trPr>
          <w:trHeight w:val="156"/>
        </w:trPr>
        <w:tc>
          <w:tcPr>
            <w:tcW w:w="320" w:type="dxa"/>
            <w:vAlign w:val="bottom"/>
            <w:gridSpan w:val="2"/>
          </w:tcPr>
          <w:p>
            <w:pPr>
              <w:jc w:val="center"/>
              <w:spacing w:after="0" w:line="15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340" w:type="dxa"/>
            <w:vAlign w:val="bottom"/>
          </w:tcPr>
          <w:p>
            <w:pPr>
              <w:spacing w:after="0"/>
              <w:rPr>
                <w:sz w:val="13"/>
                <w:szCs w:val="13"/>
                <w:color w:val="auto"/>
              </w:rPr>
            </w:pPr>
          </w:p>
        </w:tc>
        <w:tc>
          <w:tcPr>
            <w:tcW w:w="35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Pursuant to Section 12 of the Securities Exchange</w:t>
              </w:r>
            </w:hyperlink>
          </w:p>
        </w:tc>
        <w:tc>
          <w:tcPr>
            <w:tcW w:w="400" w:type="dxa"/>
            <w:vAlign w:val="bottom"/>
            <w:gridSpan w:val="5"/>
          </w:tcPr>
          <w:p>
            <w:pPr>
              <w:ind w:left="120"/>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Act</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of 1934</w:t>
              </w:r>
            </w:hyperlink>
          </w:p>
        </w:tc>
        <w:tc>
          <w:tcPr>
            <w:tcW w:w="3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660" w:type="dxa"/>
            <w:vAlign w:val="bottom"/>
            <w:gridSpan w:val="3"/>
          </w:tcPr>
          <w:p>
            <w:pPr>
              <w:jc w:val="center"/>
              <w:ind w:right="34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920" w:type="dxa"/>
            <w:vAlign w:val="bottom"/>
            <w:gridSpan w:val="1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Indemnity Agreement</w:t>
              </w:r>
            </w:hyperlink>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gridSpan w:val="3"/>
            <w:vMerge w:val="restart"/>
          </w:tcPr>
          <w:p>
            <w:pPr>
              <w:jc w:val="center"/>
              <w:ind w:right="34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920" w:type="dxa"/>
            <w:vAlign w:val="bottom"/>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LendingClub Corporation 2007 Stock Incentive Plan,</w:t>
              </w:r>
            </w:hyperlink>
          </w:p>
        </w:tc>
        <w:tc>
          <w:tcPr>
            <w:tcW w:w="0" w:type="dxa"/>
            <w:vAlign w:val="bottom"/>
          </w:tcPr>
          <w:p>
            <w:pPr>
              <w:spacing w:after="0"/>
              <w:rPr>
                <w:sz w:val="1"/>
                <w:szCs w:val="1"/>
                <w:color w:val="auto"/>
              </w:rPr>
            </w:pPr>
          </w:p>
        </w:tc>
      </w:tr>
      <w:tr>
        <w:trPr>
          <w:trHeight w:val="20"/>
        </w:trPr>
        <w:tc>
          <w:tcPr>
            <w:tcW w:w="6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0" w:type="dxa"/>
            <w:vAlign w:val="bottom"/>
            <w:gridSpan w:val="3"/>
            <w:vMerge w:val="continue"/>
          </w:tcPr>
          <w:p>
            <w:pPr>
              <w:spacing w:after="0"/>
              <w:rPr>
                <w:sz w:val="6"/>
                <w:szCs w:val="6"/>
                <w:color w:val="auto"/>
              </w:rPr>
            </w:pPr>
          </w:p>
        </w:tc>
        <w:tc>
          <w:tcPr>
            <w:tcW w:w="3920" w:type="dxa"/>
            <w:vAlign w:val="bottom"/>
            <w:gridSpan w:val="15"/>
            <w:vMerge w:val="restart"/>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as amended, and form of award agreement thereunder</w:t>
              </w:r>
            </w:hyperlink>
          </w:p>
        </w:tc>
        <w:tc>
          <w:tcPr>
            <w:tcW w:w="0" w:type="dxa"/>
            <w:vAlign w:val="bottom"/>
          </w:tcPr>
          <w:p>
            <w:pPr>
              <w:spacing w:after="0"/>
              <w:rPr>
                <w:sz w:val="1"/>
                <w:szCs w:val="1"/>
                <w:color w:val="auto"/>
              </w:rPr>
            </w:pPr>
          </w:p>
        </w:tc>
      </w:tr>
      <w:tr>
        <w:trPr>
          <w:trHeight w:val="61"/>
        </w:trPr>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40" w:type="dxa"/>
            <w:vAlign w:val="bottom"/>
          </w:tcPr>
          <w:p>
            <w:pPr>
              <w:spacing w:after="0"/>
              <w:rPr>
                <w:sz w:val="5"/>
                <w:szCs w:val="5"/>
                <w:color w:val="auto"/>
              </w:rPr>
            </w:pPr>
          </w:p>
        </w:tc>
        <w:tc>
          <w:tcPr>
            <w:tcW w:w="39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720" w:type="dxa"/>
            <w:vAlign w:val="bottom"/>
            <w:gridSpan w:val="6"/>
            <w:shd w:val="clear" w:color="auto" w:fill="0000FF"/>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vMerge w:val="restart"/>
          </w:tcPr>
          <w:p>
            <w:pPr>
              <w:jc w:val="center"/>
              <w:ind w:right="34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920" w:type="dxa"/>
            <w:vAlign w:val="bottom"/>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2014 Equity Incentive Plan, as amended and restated</w:t>
              </w:r>
            </w:hyperlink>
          </w:p>
        </w:tc>
        <w:tc>
          <w:tcPr>
            <w:tcW w:w="0" w:type="dxa"/>
            <w:vAlign w:val="bottom"/>
          </w:tcPr>
          <w:p>
            <w:pPr>
              <w:spacing w:after="0"/>
              <w:rPr>
                <w:sz w:val="1"/>
                <w:szCs w:val="1"/>
                <w:color w:val="auto"/>
              </w:rPr>
            </w:pPr>
          </w:p>
        </w:tc>
      </w:tr>
      <w:tr>
        <w:trPr>
          <w:trHeight w:val="155"/>
        </w:trPr>
        <w:tc>
          <w:tcPr>
            <w:tcW w:w="660" w:type="dxa"/>
            <w:vAlign w:val="bottom"/>
            <w:gridSpan w:val="3"/>
            <w:vMerge w:val="continue"/>
          </w:tcPr>
          <w:p>
            <w:pPr>
              <w:spacing w:after="0"/>
              <w:rPr>
                <w:sz w:val="13"/>
                <w:szCs w:val="13"/>
                <w:color w:val="auto"/>
              </w:rPr>
            </w:pPr>
          </w:p>
        </w:tc>
        <w:tc>
          <w:tcPr>
            <w:tcW w:w="38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on June 8, 2023, and forms of award agreements</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thereunder</w:t>
              </w:r>
            </w:hyperlink>
          </w:p>
        </w:tc>
        <w:tc>
          <w:tcPr>
            <w:tcW w:w="2720" w:type="dxa"/>
            <w:vAlign w:val="bottom"/>
            <w:tcBorders>
              <w:top w:val="single" w:sz="8" w:color="0000FF"/>
            </w:tcBorders>
            <w:gridSpan w:val="6"/>
          </w:tcPr>
          <w:p>
            <w:pPr>
              <w:spacing w:after="0"/>
              <w:rPr>
                <w:sz w:val="13"/>
                <w:szCs w:val="13"/>
                <w:color w:val="auto"/>
              </w:rPr>
            </w:pPr>
          </w:p>
        </w:tc>
        <w:tc>
          <w:tcPr>
            <w:tcW w:w="4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center"/>
              <w:spacing w:after="0"/>
              <w:rPr>
                <w:rFonts w:ascii="Times New Roman" w:cs="Times New Roman" w:eastAsia="Times New Roman" w:hAnsi="Times New Roman"/>
                <w:sz w:val="18"/>
                <w:szCs w:val="18"/>
                <w:color w:val="0000FF"/>
                <w:w w:val="91"/>
              </w:rPr>
            </w:pPr>
            <w:hyperlink r:id="rId180">
              <w:r>
                <w:rPr>
                  <w:rFonts w:ascii="Times New Roman" w:cs="Times New Roman" w:eastAsia="Times New Roman" w:hAnsi="Times New Roman"/>
                  <w:sz w:val="18"/>
                  <w:szCs w:val="18"/>
                  <w:color w:val="0000FF"/>
                  <w:w w:val="91"/>
                </w:rPr>
                <w:t>10-Q</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17"/>
                <w:szCs w:val="17"/>
                <w:color w:val="auto"/>
              </w:rPr>
            </w:pPr>
          </w:p>
        </w:tc>
        <w:tc>
          <w:tcPr>
            <w:tcW w:w="500" w:type="dxa"/>
            <w:vAlign w:val="bottom"/>
            <w:gridSpan w:val="2"/>
          </w:tcPr>
          <w:p>
            <w:pPr>
              <w:jc w:val="center"/>
              <w:ind w:left="17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4"/>
          </w:tcPr>
          <w:p>
            <w:pPr>
              <w:jc w:val="cente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August 1, 2024</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6"/>
          </w:tcPr>
          <w:p>
            <w:pPr>
              <w:jc w:val="center"/>
              <w:ind w:right="580"/>
              <w:spacing w:after="0"/>
              <w:rPr>
                <w:rFonts w:ascii="Times New Roman" w:cs="Times New Roman" w:eastAsia="Times New Roman" w:hAnsi="Times New Roman"/>
                <w:sz w:val="18"/>
                <w:szCs w:val="18"/>
                <w:color w:val="0000FF"/>
                <w:w w:val="82"/>
              </w:rPr>
            </w:pPr>
            <w:hyperlink r:id="rId181">
              <w:r>
                <w:rPr>
                  <w:rFonts w:ascii="Times New Roman" w:cs="Times New Roman" w:eastAsia="Times New Roman" w:hAnsi="Times New Roman"/>
                  <w:sz w:val="18"/>
                  <w:szCs w:val="18"/>
                  <w:color w:val="0000FF"/>
                  <w:w w:val="82"/>
                </w:rPr>
                <w:t>8-K/A</w:t>
              </w:r>
            </w:hyperlink>
          </w:p>
        </w:tc>
        <w:tc>
          <w:tcPr>
            <w:tcW w:w="880" w:type="dxa"/>
            <w:vAlign w:val="bottom"/>
            <w:gridSpan w:val="3"/>
          </w:tcPr>
          <w:p>
            <w:pPr>
              <w:jc w:val="center"/>
              <w:ind w:right="20"/>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24"/>
                <w:szCs w:val="24"/>
                <w:color w:val="auto"/>
              </w:rPr>
            </w:pPr>
          </w:p>
        </w:tc>
        <w:tc>
          <w:tcPr>
            <w:tcW w:w="500" w:type="dxa"/>
            <w:vAlign w:val="bottom"/>
            <w:gridSpan w:val="2"/>
          </w:tcPr>
          <w:p>
            <w:pPr>
              <w:jc w:val="center"/>
              <w:ind w:left="17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180"/>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June 22, 2018</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center"/>
              <w:spacing w:after="0"/>
              <w:rPr>
                <w:rFonts w:ascii="Times New Roman" w:cs="Times New Roman" w:eastAsia="Times New Roman" w:hAnsi="Times New Roman"/>
                <w:sz w:val="18"/>
                <w:szCs w:val="18"/>
                <w:color w:val="0000FF"/>
                <w:w w:val="91"/>
              </w:rPr>
            </w:pPr>
            <w:hyperlink r:id="rId182">
              <w:r>
                <w:rPr>
                  <w:rFonts w:ascii="Times New Roman" w:cs="Times New Roman" w:eastAsia="Times New Roman" w:hAnsi="Times New Roman"/>
                  <w:sz w:val="18"/>
                  <w:szCs w:val="18"/>
                  <w:color w:val="0000FF"/>
                  <w:w w:val="91"/>
                </w:rPr>
                <w:t>10-Q</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24"/>
                <w:szCs w:val="24"/>
                <w:color w:val="auto"/>
              </w:rPr>
            </w:pPr>
          </w:p>
        </w:tc>
        <w:tc>
          <w:tcPr>
            <w:tcW w:w="500" w:type="dxa"/>
            <w:vAlign w:val="bottom"/>
            <w:gridSpan w:val="2"/>
          </w:tcPr>
          <w:p>
            <w:pPr>
              <w:jc w:val="center"/>
              <w:ind w:left="17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24"/>
                <w:szCs w:val="24"/>
                <w:color w:val="auto"/>
              </w:rPr>
            </w:pPr>
          </w:p>
        </w:tc>
        <w:tc>
          <w:tcPr>
            <w:tcW w:w="1620" w:type="dxa"/>
            <w:vAlign w:val="bottom"/>
            <w:gridSpan w:val="5"/>
          </w:tcPr>
          <w:p>
            <w:pPr>
              <w:jc w:val="center"/>
              <w:ind w:left="190"/>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November 6, 2019</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center"/>
              <w:spacing w:after="0"/>
              <w:rPr>
                <w:rFonts w:ascii="Times New Roman" w:cs="Times New Roman" w:eastAsia="Times New Roman" w:hAnsi="Times New Roman"/>
                <w:sz w:val="18"/>
                <w:szCs w:val="18"/>
                <w:color w:val="0000FF"/>
                <w:w w:val="91"/>
              </w:rPr>
            </w:pPr>
            <w:hyperlink r:id="rId183">
              <w:r>
                <w:rPr>
                  <w:rFonts w:ascii="Times New Roman" w:cs="Times New Roman" w:eastAsia="Times New Roman" w:hAnsi="Times New Roman"/>
                  <w:sz w:val="18"/>
                  <w:szCs w:val="18"/>
                  <w:color w:val="0000FF"/>
                  <w:w w:val="91"/>
                </w:rPr>
                <w:t>10-K</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24"/>
                <w:szCs w:val="24"/>
                <w:color w:val="auto"/>
              </w:rPr>
            </w:pPr>
          </w:p>
        </w:tc>
        <w:tc>
          <w:tcPr>
            <w:tcW w:w="500" w:type="dxa"/>
            <w:vAlign w:val="bottom"/>
            <w:gridSpan w:val="2"/>
          </w:tcPr>
          <w:p>
            <w:pPr>
              <w:jc w:val="center"/>
              <w:ind w:left="17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4"/>
          </w:tcPr>
          <w:p>
            <w:pPr>
              <w:jc w:val="center"/>
              <w:ind w:right="20"/>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February 13, 2025</w:t>
              </w:r>
            </w:hyperlink>
          </w:p>
        </w:tc>
      </w:tr>
      <w:tr>
        <w:trPr>
          <w:trHeight w:val="39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S-1,</w:t>
              </w:r>
            </w:hyperlink>
          </w:p>
        </w:tc>
        <w:tc>
          <w:tcPr>
            <w:tcW w:w="60" w:type="dxa"/>
            <w:vAlign w:val="bottom"/>
            <w:tcBorders>
              <w:top w:val="single" w:sz="8" w:color="0000FF"/>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740" w:type="dxa"/>
            <w:vAlign w:val="bottom"/>
            <w:gridSpan w:val="5"/>
          </w:tcPr>
          <w:p>
            <w:pPr>
              <w:spacing w:after="0" w:line="156" w:lineRule="exact"/>
              <w:rPr>
                <w:rFonts w:ascii="Times New Roman" w:cs="Times New Roman" w:eastAsia="Times New Roman" w:hAnsi="Times New Roman"/>
                <w:sz w:val="18"/>
                <w:szCs w:val="18"/>
                <w:color w:val="0000FF"/>
                <w:w w:val="80"/>
              </w:rPr>
            </w:pPr>
            <w:hyperlink r:id="rId184">
              <w:r>
                <w:rPr>
                  <w:rFonts w:ascii="Times New Roman" w:cs="Times New Roman" w:eastAsia="Times New Roman" w:hAnsi="Times New Roman"/>
                  <w:sz w:val="18"/>
                  <w:szCs w:val="18"/>
                  <w:color w:val="0000FF"/>
                  <w:w w:val="80"/>
                </w:rPr>
                <w:t>Amendment</w:t>
              </w:r>
            </w:hyperlink>
          </w:p>
        </w:tc>
        <w:tc>
          <w:tcPr>
            <w:tcW w:w="660" w:type="dxa"/>
            <w:vAlign w:val="bottom"/>
            <w:gridSpan w:val="3"/>
          </w:tcPr>
          <w:p>
            <w:pPr>
              <w:ind w:left="180"/>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No.</w:t>
              </w:r>
            </w:hyperlink>
          </w:p>
        </w:tc>
        <w:tc>
          <w:tcPr>
            <w:tcW w:w="1100" w:type="dxa"/>
            <w:vAlign w:val="bottom"/>
            <w:gridSpan w:val="4"/>
          </w:tcPr>
          <w:p>
            <w:pPr>
              <w:jc w:val="center"/>
              <w:ind w:right="220"/>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333-198393</w:t>
              </w:r>
            </w:hyperlink>
          </w:p>
        </w:tc>
        <w:tc>
          <w:tcPr>
            <w:tcW w:w="800" w:type="dxa"/>
            <w:vAlign w:val="bottom"/>
            <w:gridSpan w:val="3"/>
          </w:tcPr>
          <w:p>
            <w:pPr>
              <w:jc w:val="center"/>
              <w:ind w:right="40"/>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80" w:type="dxa"/>
            <w:vAlign w:val="bottom"/>
          </w:tcPr>
          <w:p>
            <w:pPr>
              <w:spacing w:after="0"/>
              <w:rPr>
                <w:sz w:val="13"/>
                <w:szCs w:val="13"/>
                <w:color w:val="auto"/>
              </w:rPr>
            </w:pPr>
          </w:p>
        </w:tc>
        <w:tc>
          <w:tcPr>
            <w:tcW w:w="1340" w:type="dxa"/>
            <w:vAlign w:val="bottom"/>
            <w:gridSpan w:val="4"/>
          </w:tcPr>
          <w:p>
            <w:pPr>
              <w:jc w:val="center"/>
              <w:ind w:right="20"/>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December 1, 2014</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3</w:t>
              </w:r>
            </w:hyperlink>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center"/>
              <w:spacing w:after="0"/>
              <w:rPr>
                <w:rFonts w:ascii="Times New Roman" w:cs="Times New Roman" w:eastAsia="Times New Roman" w:hAnsi="Times New Roman"/>
                <w:sz w:val="18"/>
                <w:szCs w:val="18"/>
                <w:color w:val="0000FF"/>
                <w:w w:val="91"/>
              </w:rPr>
            </w:pPr>
            <w:hyperlink r:id="rId185">
              <w:r>
                <w:rPr>
                  <w:rFonts w:ascii="Times New Roman" w:cs="Times New Roman" w:eastAsia="Times New Roman" w:hAnsi="Times New Roman"/>
                  <w:sz w:val="18"/>
                  <w:szCs w:val="18"/>
                  <w:color w:val="0000FF"/>
                  <w:w w:val="91"/>
                </w:rPr>
                <w:t>10-K</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24"/>
                <w:szCs w:val="24"/>
                <w:color w:val="auto"/>
              </w:rPr>
            </w:pPr>
          </w:p>
        </w:tc>
        <w:tc>
          <w:tcPr>
            <w:tcW w:w="800" w:type="dxa"/>
            <w:vAlign w:val="bottom"/>
            <w:gridSpan w:val="3"/>
          </w:tcPr>
          <w:p>
            <w:pPr>
              <w:jc w:val="center"/>
              <w:ind w:right="4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80" w:type="dxa"/>
            <w:vAlign w:val="bottom"/>
          </w:tcPr>
          <w:p>
            <w:pPr>
              <w:spacing w:after="0"/>
              <w:rPr>
                <w:sz w:val="24"/>
                <w:szCs w:val="24"/>
                <w:color w:val="auto"/>
              </w:rPr>
            </w:pPr>
          </w:p>
        </w:tc>
        <w:tc>
          <w:tcPr>
            <w:tcW w:w="1340" w:type="dxa"/>
            <w:vAlign w:val="bottom"/>
            <w:gridSpan w:val="4"/>
          </w:tcPr>
          <w:p>
            <w:pPr>
              <w:jc w:val="center"/>
              <w:ind w:right="20"/>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February 19, 2020</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center"/>
              <w:spacing w:after="0"/>
              <w:rPr>
                <w:rFonts w:ascii="Times New Roman" w:cs="Times New Roman" w:eastAsia="Times New Roman" w:hAnsi="Times New Roman"/>
                <w:sz w:val="18"/>
                <w:szCs w:val="18"/>
                <w:color w:val="0000FF"/>
                <w:w w:val="91"/>
              </w:rPr>
            </w:pPr>
            <w:hyperlink r:id="rId186">
              <w:r>
                <w:rPr>
                  <w:rFonts w:ascii="Times New Roman" w:cs="Times New Roman" w:eastAsia="Times New Roman" w:hAnsi="Times New Roman"/>
                  <w:sz w:val="18"/>
                  <w:szCs w:val="18"/>
                  <w:color w:val="0000FF"/>
                  <w:w w:val="91"/>
                </w:rPr>
                <w:t>10-K</w:t>
              </w:r>
            </w:hyperlink>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001-36771</w:t>
              </w:r>
            </w:hyperlink>
          </w:p>
        </w:tc>
        <w:tc>
          <w:tcPr>
            <w:tcW w:w="220" w:type="dxa"/>
            <w:vAlign w:val="bottom"/>
          </w:tcPr>
          <w:p>
            <w:pPr>
              <w:spacing w:after="0"/>
              <w:rPr>
                <w:sz w:val="24"/>
                <w:szCs w:val="24"/>
                <w:color w:val="auto"/>
              </w:rPr>
            </w:pPr>
          </w:p>
        </w:tc>
        <w:tc>
          <w:tcPr>
            <w:tcW w:w="800" w:type="dxa"/>
            <w:vAlign w:val="bottom"/>
            <w:gridSpan w:val="3"/>
          </w:tcPr>
          <w:p>
            <w:pPr>
              <w:jc w:val="center"/>
              <w:ind w:right="4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80" w:type="dxa"/>
            <w:vAlign w:val="bottom"/>
          </w:tcPr>
          <w:p>
            <w:pPr>
              <w:spacing w:after="0"/>
              <w:rPr>
                <w:sz w:val="24"/>
                <w:szCs w:val="24"/>
                <w:color w:val="auto"/>
              </w:rPr>
            </w:pPr>
          </w:p>
        </w:tc>
        <w:tc>
          <w:tcPr>
            <w:tcW w:w="1340" w:type="dxa"/>
            <w:vAlign w:val="bottom"/>
            <w:gridSpan w:val="4"/>
          </w:tcPr>
          <w:p>
            <w:pPr>
              <w:jc w:val="center"/>
              <w:ind w:right="20"/>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February 13, 2025</w:t>
              </w:r>
            </w:hyperlink>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-1525270</wp:posOffset>
            </wp:positionV>
            <wp:extent cx="7132320" cy="265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-882015</wp:posOffset>
            </wp:positionV>
            <wp:extent cx="7132320" cy="377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-239395</wp:posOffset>
            </wp:positionV>
            <wp:extent cx="7132320" cy="377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20" w:space="160"/>
            <w:col w:w="6060"/>
          </w:cols>
          <w:pgMar w:left="480" w:top="356" w:right="47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660" w:type="dxa"/>
            <w:vAlign w:val="bottom"/>
            <w:gridSpan w:val="2"/>
            <w:vMerge w:val="restart"/>
          </w:tcPr>
          <w:p>
            <w:pPr>
              <w:jc w:val="right"/>
              <w:ind w:right="340"/>
              <w:spacing w:after="0"/>
              <w:rPr>
                <w:rFonts w:ascii="Times New Roman" w:cs="Times New Roman" w:eastAsia="Times New Roman" w:hAnsi="Times New Roman"/>
                <w:sz w:val="18"/>
                <w:szCs w:val="18"/>
                <w:color w:val="0000FF"/>
                <w:w w:val="95"/>
              </w:rPr>
            </w:pPr>
            <w:hyperlink r:id="rId19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3880" w:type="dxa"/>
            <w:vAlign w:val="bottom"/>
            <w:gridSpan w:val="2"/>
            <w:vMerge w:val="restart"/>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of Employment Agreement for Chief Executive</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4"/>
              </w:rPr>
            </w:pPr>
            <w:hyperlink r:id="rId190">
              <w:r>
                <w:rPr>
                  <w:rFonts w:ascii="Times New Roman" w:cs="Times New Roman" w:eastAsia="Times New Roman" w:hAnsi="Times New Roman"/>
                  <w:sz w:val="18"/>
                  <w:szCs w:val="18"/>
                  <w:color w:val="0000FF"/>
                  <w:w w:val="94"/>
                </w:rPr>
                <w:t>S-1,</w:t>
              </w:r>
            </w:hyperlink>
          </w:p>
        </w:tc>
        <w:tc>
          <w:tcPr>
            <w:tcW w:w="174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60" w:type="dxa"/>
            <w:vAlign w:val="bottom"/>
            <w:gridSpan w:val="2"/>
            <w:vMerge w:val="continue"/>
          </w:tcPr>
          <w:p>
            <w:pPr>
              <w:spacing w:after="0"/>
              <w:rPr>
                <w:sz w:val="5"/>
                <w:szCs w:val="5"/>
                <w:color w:val="auto"/>
              </w:rPr>
            </w:pPr>
          </w:p>
        </w:tc>
        <w:tc>
          <w:tcPr>
            <w:tcW w:w="3880" w:type="dxa"/>
            <w:vAlign w:val="bottom"/>
            <w:tcBorders>
              <w:bottom w:val="single" w:sz="8" w:color="0000FF"/>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jc w:val="right"/>
              <w:spacing w:after="0" w:line="156" w:lineRule="exact"/>
              <w:rPr>
                <w:rFonts w:ascii="Times New Roman" w:cs="Times New Roman" w:eastAsia="Times New Roman" w:hAnsi="Times New Roman"/>
                <w:sz w:val="18"/>
                <w:szCs w:val="18"/>
                <w:color w:val="0000FF"/>
                <w:w w:val="92"/>
              </w:rPr>
            </w:pPr>
            <w:hyperlink r:id="rId190">
              <w:r>
                <w:rPr>
                  <w:rFonts w:ascii="Times New Roman" w:cs="Times New Roman" w:eastAsia="Times New Roman" w:hAnsi="Times New Roman"/>
                  <w:sz w:val="18"/>
                  <w:szCs w:val="18"/>
                  <w:color w:val="0000FF"/>
                  <w:w w:val="92"/>
                </w:rPr>
                <w:t>Amendment</w:t>
              </w:r>
            </w:hyperlink>
          </w:p>
        </w:tc>
        <w:tc>
          <w:tcPr>
            <w:tcW w:w="1740" w:type="dxa"/>
            <w:vAlign w:val="bottom"/>
            <w:gridSpan w:val="4"/>
            <w:vMerge w:val="restart"/>
          </w:tcPr>
          <w:p>
            <w:pPr>
              <w:ind w:left="180"/>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No.   333-198393</w:t>
              </w:r>
            </w:hyperlink>
          </w:p>
        </w:tc>
        <w:tc>
          <w:tcPr>
            <w:tcW w:w="1100" w:type="dxa"/>
            <w:vAlign w:val="bottom"/>
            <w:gridSpan w:val="3"/>
            <w:vMerge w:val="restart"/>
          </w:tcPr>
          <w:p>
            <w:pPr>
              <w:jc w:val="right"/>
              <w:ind w:right="500"/>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320" w:type="dxa"/>
            <w:vAlign w:val="bottom"/>
            <w:vMerge w:val="restart"/>
          </w:tcPr>
          <w:p>
            <w:pPr>
              <w:spacing w:after="0" w:line="156"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December 1, 2014</w:t>
              </w:r>
            </w:hyperlink>
          </w:p>
        </w:tc>
        <w:tc>
          <w:tcPr>
            <w:tcW w:w="0" w:type="dxa"/>
            <w:vAlign w:val="bottom"/>
          </w:tcPr>
          <w:p>
            <w:pPr>
              <w:spacing w:after="0"/>
              <w:rPr>
                <w:sz w:val="1"/>
                <w:szCs w:val="1"/>
                <w:color w:val="auto"/>
              </w:rPr>
            </w:pPr>
          </w:p>
        </w:tc>
      </w:tr>
      <w:tr>
        <w:trPr>
          <w:trHeight w:val="94"/>
        </w:trPr>
        <w:tc>
          <w:tcPr>
            <w:tcW w:w="660" w:type="dxa"/>
            <w:vAlign w:val="bottom"/>
            <w:gridSpan w:val="2"/>
            <w:vMerge w:val="continue"/>
          </w:tcPr>
          <w:p>
            <w:pPr>
              <w:spacing w:after="0"/>
              <w:rPr>
                <w:sz w:val="8"/>
                <w:szCs w:val="8"/>
                <w:color w:val="auto"/>
              </w:rPr>
            </w:pPr>
          </w:p>
        </w:tc>
        <w:tc>
          <w:tcPr>
            <w:tcW w:w="3960" w:type="dxa"/>
            <w:vAlign w:val="bottom"/>
            <w:gridSpan w:val="3"/>
            <w:vMerge w:val="restart"/>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Officer</w:t>
              </w:r>
            </w:hyperlink>
          </w:p>
        </w:tc>
        <w:tc>
          <w:tcPr>
            <w:tcW w:w="840" w:type="dxa"/>
            <w:vAlign w:val="bottom"/>
            <w:gridSpan w:val="5"/>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32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3960" w:type="dxa"/>
            <w:vAlign w:val="bottom"/>
            <w:gridSpan w:val="3"/>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540" w:type="dxa"/>
            <w:vAlign w:val="bottom"/>
            <w:tcBorders>
              <w:top w:val="single" w:sz="8" w:color="0000FF"/>
            </w:tcBorders>
            <w:gridSpan w:val="2"/>
            <w:vMerge w:val="restart"/>
          </w:tcPr>
          <w:p>
            <w:pPr>
              <w:spacing w:after="0"/>
              <w:rPr>
                <w:sz w:val="3"/>
                <w:szCs w:val="3"/>
                <w:color w:val="auto"/>
              </w:rPr>
            </w:pPr>
          </w:p>
        </w:tc>
        <w:tc>
          <w:tcPr>
            <w:tcW w:w="100" w:type="dxa"/>
            <w:vAlign w:val="bottom"/>
            <w:tcBorders>
              <w:top w:val="single" w:sz="8" w:color="0000FF"/>
            </w:tcBorders>
            <w:vMerge w:val="restart"/>
          </w:tcPr>
          <w:p>
            <w:pPr>
              <w:jc w:val="right"/>
              <w:spacing w:after="0" w:line="136" w:lineRule="exact"/>
              <w:rPr>
                <w:rFonts w:ascii="Times New Roman" w:cs="Times New Roman" w:eastAsia="Times New Roman" w:hAnsi="Times New Roman"/>
                <w:sz w:val="15"/>
                <w:szCs w:val="15"/>
                <w:color w:val="0000FF"/>
              </w:rPr>
            </w:pPr>
            <w:hyperlink r:id="rId190">
              <w:r>
                <w:rPr>
                  <w:rFonts w:ascii="Times New Roman" w:cs="Times New Roman" w:eastAsia="Times New Roman" w:hAnsi="Times New Roman"/>
                  <w:sz w:val="15"/>
                  <w:szCs w:val="15"/>
                  <w:color w:val="0000FF"/>
                </w:rPr>
                <w:t>3</w:t>
              </w:r>
            </w:hyperlink>
          </w:p>
        </w:tc>
        <w:tc>
          <w:tcPr>
            <w:tcW w:w="100" w:type="dxa"/>
            <w:vAlign w:val="bottom"/>
            <w:tcBorders>
              <w:top w:val="single" w:sz="8" w:color="0000FF"/>
            </w:tcBorders>
            <w:vMerge w:val="restart"/>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3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tcBorders>
              <w:top w:val="single" w:sz="8" w:color="0000FF"/>
            </w:tcBorders>
            <w:gridSpan w:val="2"/>
            <w:vMerge w:val="continue"/>
          </w:tcPr>
          <w:p>
            <w:pPr>
              <w:spacing w:after="0"/>
              <w:rPr>
                <w:sz w:val="6"/>
                <w:szCs w:val="6"/>
                <w:color w:val="auto"/>
              </w:rPr>
            </w:pPr>
          </w:p>
        </w:tc>
        <w:tc>
          <w:tcPr>
            <w:tcW w:w="100" w:type="dxa"/>
            <w:vAlign w:val="bottom"/>
            <w:tcBorders>
              <w:top w:val="single" w:sz="8" w:color="0000FF"/>
              <w:bottom w:val="single" w:sz="8" w:color="0000FF"/>
            </w:tcBorders>
            <w:vMerge w:val="continue"/>
          </w:tcPr>
          <w:p>
            <w:pPr>
              <w:spacing w:after="0"/>
              <w:rPr>
                <w:sz w:val="6"/>
                <w:szCs w:val="6"/>
                <w:color w:val="auto"/>
              </w:rPr>
            </w:pPr>
          </w:p>
        </w:tc>
        <w:tc>
          <w:tcPr>
            <w:tcW w:w="100" w:type="dxa"/>
            <w:vAlign w:val="bottom"/>
            <w:tcBorders>
              <w:top w:val="single" w:sz="8" w:color="0000FF"/>
            </w:tcBorders>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0940"/>
          </w:cols>
          <w:pgMar w:left="480" w:top="356" w:right="479" w:bottom="1440" w:gutter="0" w:footer="0" w:header="0"/>
          <w:type w:val="continuous"/>
        </w:sectPr>
      </w:pP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9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340" w:type="dxa"/>
            <w:vAlign w:val="bottom"/>
          </w:tcPr>
          <w:p>
            <w:pPr>
              <w:spacing w:after="0"/>
              <w:rPr>
                <w:sz w:val="17"/>
                <w:szCs w:val="17"/>
                <w:color w:val="auto"/>
              </w:rPr>
            </w:pPr>
          </w:p>
        </w:tc>
        <w:tc>
          <w:tcPr>
            <w:tcW w:w="3900" w:type="dxa"/>
            <w:vAlign w:val="bottom"/>
            <w:gridSpan w:val="1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Employment Agreement for Executive</w:t>
              </w:r>
            </w:hyperlink>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900" w:type="dxa"/>
            <w:vAlign w:val="bottom"/>
            <w:gridSpan w:val="17"/>
            <w:vMerge w:val="restart"/>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Officers other than Chief Executive Officer</w:t>
              </w:r>
            </w:hyperlink>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9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340" w:type="dxa"/>
            <w:vAlign w:val="bottom"/>
          </w:tcPr>
          <w:p>
            <w:pPr>
              <w:spacing w:after="0"/>
              <w:rPr>
                <w:sz w:val="24"/>
                <w:szCs w:val="24"/>
                <w:color w:val="auto"/>
              </w:rPr>
            </w:pPr>
          </w:p>
        </w:tc>
        <w:tc>
          <w:tcPr>
            <w:tcW w:w="3900" w:type="dxa"/>
            <w:vAlign w:val="bottom"/>
            <w:gridSpan w:val="1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Lease Agreement, dated as of April 16, 2015, by and</w:t>
              </w:r>
            </w:hyperlink>
          </w:p>
        </w:tc>
        <w:tc>
          <w:tcPr>
            <w:tcW w:w="0" w:type="dxa"/>
            <w:vAlign w:val="bottom"/>
          </w:tcPr>
          <w:p>
            <w:pPr>
              <w:spacing w:after="0"/>
              <w:rPr>
                <w:sz w:val="1"/>
                <w:szCs w:val="1"/>
                <w:color w:val="auto"/>
              </w:rPr>
            </w:pPr>
          </w:p>
        </w:tc>
      </w:tr>
      <w:tr>
        <w:trPr>
          <w:trHeight w:val="155"/>
        </w:trPr>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8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between LendingClub Corporation and 595 Market</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Street, Inc.</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jc w:val="right"/>
              <w:spacing w:after="0"/>
              <w:rPr>
                <w:rFonts w:ascii="Times New Roman" w:cs="Times New Roman" w:eastAsia="Times New Roman" w:hAnsi="Times New Roman"/>
                <w:sz w:val="18"/>
                <w:szCs w:val="18"/>
                <w:color w:val="0000FF"/>
                <w:w w:val="95"/>
              </w:rPr>
            </w:pPr>
            <w:hyperlink r:id="rId19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340" w:type="dxa"/>
            <w:vAlign w:val="bottom"/>
          </w:tcPr>
          <w:p>
            <w:pPr>
              <w:spacing w:after="0"/>
              <w:rPr>
                <w:sz w:val="19"/>
                <w:szCs w:val="19"/>
                <w:color w:val="auto"/>
              </w:rPr>
            </w:pPr>
          </w:p>
        </w:tc>
        <w:tc>
          <w:tcPr>
            <w:tcW w:w="3900" w:type="dxa"/>
            <w:vAlign w:val="bottom"/>
            <w:gridSpan w:val="17"/>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Radius Bancorp, Inc. 2016 Omnibus Incentive Plan</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9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340" w:type="dxa"/>
            <w:vAlign w:val="bottom"/>
          </w:tcPr>
          <w:p>
            <w:pPr>
              <w:spacing w:after="0"/>
              <w:rPr>
                <w:sz w:val="18"/>
                <w:szCs w:val="18"/>
                <w:color w:val="auto"/>
              </w:rPr>
            </w:pPr>
          </w:p>
        </w:tc>
        <w:tc>
          <w:tcPr>
            <w:tcW w:w="3900" w:type="dxa"/>
            <w:vAlign w:val="bottom"/>
            <w:gridSpan w:val="17"/>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Non-Employee Director Compensation Policy,</w:t>
              </w:r>
            </w:hyperlink>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900" w:type="dxa"/>
            <w:vAlign w:val="bottom"/>
            <w:gridSpan w:val="17"/>
            <w:vMerge w:val="restart"/>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effective October 20, 2022</w:t>
              </w:r>
            </w:hyperlink>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9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340" w:type="dxa"/>
            <w:vAlign w:val="bottom"/>
          </w:tcPr>
          <w:p>
            <w:pPr>
              <w:spacing w:after="0"/>
              <w:rPr>
                <w:sz w:val="19"/>
                <w:szCs w:val="19"/>
                <w:color w:val="auto"/>
              </w:rPr>
            </w:pPr>
          </w:p>
        </w:tc>
        <w:tc>
          <w:tcPr>
            <w:tcW w:w="3900" w:type="dxa"/>
            <w:vAlign w:val="bottom"/>
            <w:gridSpan w:val="17"/>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2014 Employee Stock Purchase Plan, as amended and</w:t>
              </w:r>
            </w:hyperlink>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3900" w:type="dxa"/>
            <w:vAlign w:val="bottom"/>
            <w:gridSpan w:val="17"/>
            <w:vMerge w:val="restart"/>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restated on June 11, 2024</w:t>
              </w:r>
            </w:hyperlink>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jc w:val="right"/>
              <w:spacing w:after="0"/>
              <w:rPr>
                <w:rFonts w:ascii="Times New Roman" w:cs="Times New Roman" w:eastAsia="Times New Roman" w:hAnsi="Times New Roman"/>
                <w:sz w:val="18"/>
                <w:szCs w:val="18"/>
                <w:color w:val="0000FF"/>
                <w:w w:val="95"/>
              </w:rPr>
            </w:pPr>
            <w:hyperlink r:id="rId196">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340" w:type="dxa"/>
            <w:vAlign w:val="bottom"/>
          </w:tcPr>
          <w:p>
            <w:pPr>
              <w:spacing w:after="0"/>
              <w:rPr>
                <w:sz w:val="19"/>
                <w:szCs w:val="19"/>
                <w:color w:val="auto"/>
              </w:rPr>
            </w:pPr>
          </w:p>
        </w:tc>
        <w:tc>
          <w:tcPr>
            <w:tcW w:w="3900" w:type="dxa"/>
            <w:vAlign w:val="bottom"/>
            <w:gridSpan w:val="17"/>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Insider Trading Policy</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8"/>
                <w:szCs w:val="18"/>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8"/>
                <w:szCs w:val="18"/>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8"/>
                <w:szCs w:val="18"/>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3900" w:type="dxa"/>
            <w:vAlign w:val="bottom"/>
            <w:gridSpan w:val="17"/>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40" w:type="dxa"/>
            <w:vAlign w:val="bottom"/>
          </w:tcPr>
          <w:p>
            <w:pPr>
              <w:spacing w:after="0"/>
              <w:rPr>
                <w:sz w:val="19"/>
                <w:szCs w:val="19"/>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0" w:type="dxa"/>
            <w:vAlign w:val="bottom"/>
          </w:tcPr>
          <w:p>
            <w:pPr>
              <w:spacing w:after="0"/>
              <w:rPr>
                <w:sz w:val="1"/>
                <w:szCs w:val="1"/>
                <w:color w:val="auto"/>
              </w:rPr>
            </w:pPr>
          </w:p>
        </w:tc>
      </w:tr>
      <w:tr>
        <w:trPr>
          <w:trHeight w:val="20"/>
        </w:trPr>
        <w:tc>
          <w:tcPr>
            <w:tcW w:w="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20" w:type="dxa"/>
            <w:vAlign w:val="bottom"/>
            <w:tcBorders>
              <w:bottom w:val="single" w:sz="8" w:color="0000FF"/>
            </w:tcBorders>
            <w:vMerge w:val="continue"/>
          </w:tcPr>
          <w:p>
            <w:pPr>
              <w:spacing w:after="0"/>
              <w:rPr>
                <w:sz w:val="6"/>
                <w:szCs w:val="6"/>
                <w:color w:val="auto"/>
              </w:rPr>
            </w:pPr>
          </w:p>
        </w:tc>
        <w:tc>
          <w:tcPr>
            <w:tcW w:w="340" w:type="dxa"/>
            <w:vAlign w:val="bottom"/>
          </w:tcPr>
          <w:p>
            <w:pPr>
              <w:spacing w:after="0"/>
              <w:rPr>
                <w:sz w:val="6"/>
                <w:szCs w:val="6"/>
                <w:color w:val="auto"/>
              </w:rPr>
            </w:pPr>
          </w:p>
        </w:tc>
        <w:tc>
          <w:tcPr>
            <w:tcW w:w="3900" w:type="dxa"/>
            <w:vAlign w:val="bottom"/>
            <w:gridSpan w:val="17"/>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9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340" w:type="dxa"/>
            <w:vAlign w:val="bottom"/>
          </w:tcPr>
          <w:p>
            <w:pPr>
              <w:spacing w:after="0"/>
              <w:rPr>
                <w:sz w:val="19"/>
                <w:szCs w:val="19"/>
                <w:color w:val="auto"/>
              </w:rPr>
            </w:pPr>
          </w:p>
        </w:tc>
        <w:tc>
          <w:tcPr>
            <w:tcW w:w="3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0" w:type="dxa"/>
            <w:vAlign w:val="bottom"/>
          </w:tcPr>
          <w:p>
            <w:pPr>
              <w:spacing w:after="0"/>
              <w:rPr>
                <w:sz w:val="1"/>
                <w:szCs w:val="1"/>
                <w:color w:val="auto"/>
              </w:rPr>
            </w:pPr>
          </w:p>
        </w:tc>
      </w:tr>
      <w:tr>
        <w:trPr>
          <w:trHeight w:val="155"/>
        </w:trPr>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6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Section 906 of the</w:t>
            </w: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8"/>
              </w:rPr>
              <w:t>Sarbanes-Oxley Act of 2002</w:t>
            </w:r>
          </w:p>
        </w:tc>
        <w:tc>
          <w:tcPr>
            <w:tcW w:w="1400" w:type="dxa"/>
            <w:vAlign w:val="bottom"/>
            <w:tcBorders>
              <w:top w:val="single" w:sz="8" w:color="0000FF"/>
            </w:tcBorders>
            <w:gridSpan w:val="5"/>
          </w:tcPr>
          <w:p>
            <w:pPr>
              <w:spacing w:after="0"/>
              <w:rPr>
                <w:sz w:val="13"/>
                <w:szCs w:val="13"/>
                <w:color w:val="auto"/>
              </w:rPr>
            </w:pPr>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Borders>
              <w:bottom w:val="single" w:sz="8" w:color="0000FF"/>
            </w:tcBorders>
            <w:gridSpan w:val="4"/>
          </w:tcPr>
          <w:p>
            <w:pPr>
              <w:jc w:val="center"/>
              <w:ind w:right="40"/>
              <w:spacing w:after="0"/>
              <w:rPr>
                <w:rFonts w:ascii="Times New Roman" w:cs="Times New Roman" w:eastAsia="Times New Roman" w:hAnsi="Times New Roman"/>
                <w:sz w:val="18"/>
                <w:szCs w:val="18"/>
                <w:color w:val="0000FF"/>
                <w:w w:val="94"/>
              </w:rPr>
            </w:pPr>
            <w:hyperlink r:id="rId191">
              <w:r>
                <w:rPr>
                  <w:rFonts w:ascii="Times New Roman" w:cs="Times New Roman" w:eastAsia="Times New Roman" w:hAnsi="Times New Roman"/>
                  <w:sz w:val="18"/>
                  <w:szCs w:val="18"/>
                  <w:color w:val="0000FF"/>
                  <w:w w:val="94"/>
                </w:rPr>
                <w:t>S-1,</w:t>
              </w:r>
            </w:hyperlink>
          </w:p>
        </w:tc>
        <w:tc>
          <w:tcPr>
            <w:tcW w:w="6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780" w:type="dxa"/>
            <w:vAlign w:val="bottom"/>
            <w:gridSpan w:val="6"/>
          </w:tcPr>
          <w:p>
            <w:pPr>
              <w:spacing w:after="0" w:line="156" w:lineRule="exact"/>
              <w:rPr>
                <w:rFonts w:ascii="Times New Roman" w:cs="Times New Roman" w:eastAsia="Times New Roman" w:hAnsi="Times New Roman"/>
                <w:sz w:val="18"/>
                <w:szCs w:val="18"/>
                <w:color w:val="0000FF"/>
                <w:w w:val="83"/>
              </w:rPr>
            </w:pPr>
            <w:hyperlink r:id="rId191">
              <w:r>
                <w:rPr>
                  <w:rFonts w:ascii="Times New Roman" w:cs="Times New Roman" w:eastAsia="Times New Roman" w:hAnsi="Times New Roman"/>
                  <w:sz w:val="18"/>
                  <w:szCs w:val="18"/>
                  <w:color w:val="0000FF"/>
                  <w:w w:val="83"/>
                </w:rPr>
                <w:t>Amendment</w:t>
              </w:r>
            </w:hyperlink>
          </w:p>
        </w:tc>
        <w:tc>
          <w:tcPr>
            <w:tcW w:w="620" w:type="dxa"/>
            <w:vAlign w:val="bottom"/>
            <w:gridSpan w:val="2"/>
          </w:tcPr>
          <w:p>
            <w:pPr>
              <w:ind w:left="140"/>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No.</w:t>
              </w:r>
            </w:hyperlink>
          </w:p>
        </w:tc>
        <w:tc>
          <w:tcPr>
            <w:tcW w:w="1080" w:type="dxa"/>
            <w:vAlign w:val="bottom"/>
            <w:gridSpan w:val="4"/>
          </w:tcPr>
          <w:p>
            <w:pPr>
              <w:jc w:val="center"/>
              <w:ind w:right="200"/>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333-198393</w:t>
              </w:r>
            </w:hyperlink>
          </w:p>
        </w:tc>
        <w:tc>
          <w:tcPr>
            <w:tcW w:w="1140" w:type="dxa"/>
            <w:vAlign w:val="bottom"/>
            <w:gridSpan w:val="3"/>
          </w:tcPr>
          <w:p>
            <w:pPr>
              <w:jc w:val="center"/>
              <w:ind w:right="340"/>
              <w:spacing w:after="0" w:line="156"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1280" w:type="dxa"/>
            <w:vAlign w:val="bottom"/>
            <w:gridSpan w:val="5"/>
          </w:tcPr>
          <w:p>
            <w:pPr>
              <w:jc w:val="center"/>
              <w:spacing w:after="0" w:line="156" w:lineRule="exact"/>
              <w:rPr>
                <w:rFonts w:ascii="Times New Roman" w:cs="Times New Roman" w:eastAsia="Times New Roman" w:hAnsi="Times New Roman"/>
                <w:sz w:val="18"/>
                <w:szCs w:val="18"/>
                <w:color w:val="0000FF"/>
                <w:w w:val="96"/>
              </w:rPr>
            </w:pPr>
            <w:hyperlink r:id="rId191">
              <w:r>
                <w:rPr>
                  <w:rFonts w:ascii="Times New Roman" w:cs="Times New Roman" w:eastAsia="Times New Roman" w:hAnsi="Times New Roman"/>
                  <w:sz w:val="18"/>
                  <w:szCs w:val="18"/>
                  <w:color w:val="0000FF"/>
                  <w:w w:val="96"/>
                </w:rPr>
                <w:t>December 1, 2014</w:t>
              </w:r>
            </w:hyperlink>
          </w:p>
        </w:tc>
      </w:tr>
      <w:tr>
        <w:trPr>
          <w:trHeight w:val="156"/>
        </w:trPr>
        <w:tc>
          <w:tcPr>
            <w:tcW w:w="20" w:type="dxa"/>
            <w:vAlign w:val="bottom"/>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3</w:t>
              </w:r>
            </w:hyperlink>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4"/>
          </w:tcPr>
          <w:p>
            <w:pPr>
              <w:jc w:val="center"/>
              <w:spacing w:after="0"/>
              <w:rPr>
                <w:rFonts w:ascii="Times New Roman" w:cs="Times New Roman" w:eastAsia="Times New Roman" w:hAnsi="Times New Roman"/>
                <w:sz w:val="18"/>
                <w:szCs w:val="18"/>
                <w:color w:val="0000FF"/>
                <w:w w:val="86"/>
              </w:rPr>
            </w:pPr>
            <w:hyperlink r:id="rId192">
              <w:r>
                <w:rPr>
                  <w:rFonts w:ascii="Times New Roman" w:cs="Times New Roman" w:eastAsia="Times New Roman" w:hAnsi="Times New Roman"/>
                  <w:sz w:val="18"/>
                  <w:szCs w:val="18"/>
                  <w:color w:val="0000FF"/>
                  <w:w w:val="86"/>
                </w:rPr>
                <w:t>10-Q</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001-36771</w:t>
              </w:r>
            </w:hyperlink>
          </w:p>
        </w:tc>
        <w:tc>
          <w:tcPr>
            <w:tcW w:w="200" w:type="dxa"/>
            <w:vAlign w:val="bottom"/>
          </w:tcPr>
          <w:p>
            <w:pPr>
              <w:spacing w:after="0"/>
              <w:rPr>
                <w:sz w:val="24"/>
                <w:szCs w:val="24"/>
                <w:color w:val="auto"/>
              </w:rPr>
            </w:pPr>
          </w:p>
        </w:tc>
        <w:tc>
          <w:tcPr>
            <w:tcW w:w="1140" w:type="dxa"/>
            <w:vAlign w:val="bottom"/>
            <w:gridSpan w:val="3"/>
          </w:tcPr>
          <w:p>
            <w:pPr>
              <w:jc w:val="center"/>
              <w:ind w:right="340"/>
              <w:spacing w:after="0"/>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160" w:type="dxa"/>
            <w:vAlign w:val="bottom"/>
          </w:tcPr>
          <w:p>
            <w:pPr>
              <w:spacing w:after="0"/>
              <w:rPr>
                <w:sz w:val="24"/>
                <w:szCs w:val="24"/>
                <w:color w:val="auto"/>
              </w:rPr>
            </w:pPr>
          </w:p>
        </w:tc>
        <w:tc>
          <w:tcPr>
            <w:tcW w:w="1120" w:type="dxa"/>
            <w:vAlign w:val="bottom"/>
            <w:gridSpan w:val="4"/>
          </w:tcPr>
          <w:p>
            <w:pPr>
              <w:jc w:val="center"/>
              <w:ind w:right="200"/>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May 5, 2015</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gridSpan w:val="3"/>
          </w:tcPr>
          <w:p>
            <w:pPr>
              <w:jc w:val="cente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S-8</w:t>
              </w:r>
            </w:hyperlink>
          </w:p>
        </w:tc>
        <w:tc>
          <w:tcPr>
            <w:tcW w:w="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880" w:type="dxa"/>
            <w:vAlign w:val="bottom"/>
            <w:gridSpan w:val="3"/>
          </w:tcPr>
          <w:p>
            <w:pPr>
              <w:jc w:val="cente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333-255688</w:t>
              </w:r>
            </w:hyperlink>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jc w:val="cente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3</w:t>
              </w:r>
            </w:hyperlink>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center"/>
              <w:ind w:right="140"/>
              <w:spacing w:after="0"/>
              <w:rPr>
                <w:rFonts w:ascii="Times New Roman" w:cs="Times New Roman" w:eastAsia="Times New Roman" w:hAnsi="Times New Roman"/>
                <w:sz w:val="18"/>
                <w:szCs w:val="18"/>
                <w:color w:val="0000FF"/>
                <w:w w:val="92"/>
              </w:rPr>
            </w:pPr>
            <w:hyperlink r:id="rId193">
              <w:r>
                <w:rPr>
                  <w:rFonts w:ascii="Times New Roman" w:cs="Times New Roman" w:eastAsia="Times New Roman" w:hAnsi="Times New Roman"/>
                  <w:sz w:val="18"/>
                  <w:szCs w:val="18"/>
                  <w:color w:val="0000FF"/>
                  <w:w w:val="92"/>
                </w:rPr>
                <w:t>April 30, 2021</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4"/>
          </w:tcPr>
          <w:p>
            <w:pPr>
              <w:jc w:val="center"/>
              <w:spacing w:after="0"/>
              <w:rPr>
                <w:rFonts w:ascii="Times New Roman" w:cs="Times New Roman" w:eastAsia="Times New Roman" w:hAnsi="Times New Roman"/>
                <w:sz w:val="18"/>
                <w:szCs w:val="18"/>
                <w:color w:val="0000FF"/>
                <w:w w:val="86"/>
              </w:rPr>
            </w:pPr>
            <w:hyperlink r:id="rId194">
              <w:r>
                <w:rPr>
                  <w:rFonts w:ascii="Times New Roman" w:cs="Times New Roman" w:eastAsia="Times New Roman" w:hAnsi="Times New Roman"/>
                  <w:sz w:val="18"/>
                  <w:szCs w:val="18"/>
                  <w:color w:val="0000FF"/>
                  <w:w w:val="86"/>
                </w:rPr>
                <w:t>10-K</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001-36771</w:t>
              </w:r>
            </w:hyperlink>
          </w:p>
        </w:tc>
        <w:tc>
          <w:tcPr>
            <w:tcW w:w="200" w:type="dxa"/>
            <w:vAlign w:val="bottom"/>
          </w:tcPr>
          <w:p>
            <w:pPr>
              <w:spacing w:after="0"/>
              <w:rPr>
                <w:sz w:val="24"/>
                <w:szCs w:val="24"/>
                <w:color w:val="auto"/>
              </w:rPr>
            </w:pPr>
          </w:p>
        </w:tc>
        <w:tc>
          <w:tcPr>
            <w:tcW w:w="560" w:type="dxa"/>
            <w:vAlign w:val="bottom"/>
            <w:gridSpan w:val="2"/>
          </w:tcPr>
          <w:p>
            <w:pPr>
              <w:jc w:val="center"/>
              <w:ind w:left="15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580" w:type="dxa"/>
            <w:vAlign w:val="bottom"/>
          </w:tcPr>
          <w:p>
            <w:pPr>
              <w:spacing w:after="0"/>
              <w:rPr>
                <w:sz w:val="24"/>
                <w:szCs w:val="24"/>
                <w:color w:val="auto"/>
              </w:rPr>
            </w:pPr>
          </w:p>
        </w:tc>
        <w:tc>
          <w:tcPr>
            <w:tcW w:w="1280" w:type="dxa"/>
            <w:vAlign w:val="bottom"/>
            <w:gridSpan w:val="5"/>
          </w:tcPr>
          <w:p>
            <w:pPr>
              <w:jc w:val="center"/>
              <w:ind w:right="4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February 9, 2023</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4"/>
          </w:tcPr>
          <w:p>
            <w:pPr>
              <w:jc w:val="center"/>
              <w:spacing w:after="0"/>
              <w:rPr>
                <w:rFonts w:ascii="Times New Roman" w:cs="Times New Roman" w:eastAsia="Times New Roman" w:hAnsi="Times New Roman"/>
                <w:sz w:val="18"/>
                <w:szCs w:val="18"/>
                <w:color w:val="0000FF"/>
                <w:w w:val="86"/>
              </w:rPr>
            </w:pPr>
            <w:hyperlink r:id="rId195">
              <w:r>
                <w:rPr>
                  <w:rFonts w:ascii="Times New Roman" w:cs="Times New Roman" w:eastAsia="Times New Roman" w:hAnsi="Times New Roman"/>
                  <w:sz w:val="18"/>
                  <w:szCs w:val="18"/>
                  <w:color w:val="0000FF"/>
                  <w:w w:val="86"/>
                </w:rPr>
                <w:t>10-Q</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001-36771</w:t>
              </w:r>
            </w:hyperlink>
          </w:p>
        </w:tc>
        <w:tc>
          <w:tcPr>
            <w:tcW w:w="200" w:type="dxa"/>
            <w:vAlign w:val="bottom"/>
          </w:tcPr>
          <w:p>
            <w:pPr>
              <w:spacing w:after="0"/>
              <w:rPr>
                <w:sz w:val="24"/>
                <w:szCs w:val="24"/>
                <w:color w:val="auto"/>
              </w:rPr>
            </w:pPr>
          </w:p>
        </w:tc>
        <w:tc>
          <w:tcPr>
            <w:tcW w:w="560" w:type="dxa"/>
            <w:vAlign w:val="bottom"/>
            <w:gridSpan w:val="2"/>
          </w:tcPr>
          <w:p>
            <w:pPr>
              <w:jc w:val="center"/>
              <w:ind w:left="150"/>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580" w:type="dxa"/>
            <w:vAlign w:val="bottom"/>
          </w:tcPr>
          <w:p>
            <w:pPr>
              <w:spacing w:after="0"/>
              <w:rPr>
                <w:sz w:val="24"/>
                <w:szCs w:val="24"/>
                <w:color w:val="auto"/>
              </w:rPr>
            </w:pPr>
          </w:p>
        </w:tc>
        <w:tc>
          <w:tcPr>
            <w:tcW w:w="1280" w:type="dxa"/>
            <w:vAlign w:val="bottom"/>
            <w:gridSpan w:val="5"/>
          </w:tcPr>
          <w:p>
            <w:pPr>
              <w:jc w:val="center"/>
              <w:ind w:right="20"/>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August 1, 2024</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4"/>
          </w:tcPr>
          <w:p>
            <w:pPr>
              <w:jc w:val="center"/>
              <w:spacing w:after="0"/>
              <w:rPr>
                <w:rFonts w:ascii="Times New Roman" w:cs="Times New Roman" w:eastAsia="Times New Roman" w:hAnsi="Times New Roman"/>
                <w:sz w:val="18"/>
                <w:szCs w:val="18"/>
                <w:color w:val="0000FF"/>
                <w:w w:val="86"/>
              </w:rPr>
            </w:pPr>
            <w:hyperlink r:id="rId196">
              <w:r>
                <w:rPr>
                  <w:rFonts w:ascii="Times New Roman" w:cs="Times New Roman" w:eastAsia="Times New Roman" w:hAnsi="Times New Roman"/>
                  <w:sz w:val="18"/>
                  <w:szCs w:val="18"/>
                  <w:color w:val="0000FF"/>
                  <w:w w:val="86"/>
                </w:rPr>
                <w:t>10-K</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001-36771</w:t>
              </w:r>
            </w:hyperlink>
          </w:p>
        </w:tc>
        <w:tc>
          <w:tcPr>
            <w:tcW w:w="200" w:type="dxa"/>
            <w:vAlign w:val="bottom"/>
          </w:tcPr>
          <w:p>
            <w:pPr>
              <w:spacing w:after="0"/>
              <w:rPr>
                <w:sz w:val="24"/>
                <w:szCs w:val="24"/>
                <w:color w:val="auto"/>
              </w:rPr>
            </w:pPr>
          </w:p>
        </w:tc>
        <w:tc>
          <w:tcPr>
            <w:tcW w:w="560" w:type="dxa"/>
            <w:vAlign w:val="bottom"/>
            <w:gridSpan w:val="2"/>
          </w:tcPr>
          <w:p>
            <w:pPr>
              <w:jc w:val="center"/>
              <w:ind w:left="15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580" w:type="dxa"/>
            <w:vAlign w:val="bottom"/>
          </w:tcPr>
          <w:p>
            <w:pPr>
              <w:spacing w:after="0"/>
              <w:rPr>
                <w:sz w:val="24"/>
                <w:szCs w:val="24"/>
                <w:color w:val="auto"/>
              </w:rPr>
            </w:pPr>
          </w:p>
        </w:tc>
        <w:tc>
          <w:tcPr>
            <w:tcW w:w="1280" w:type="dxa"/>
            <w:vAlign w:val="bottom"/>
            <w:gridSpan w:val="5"/>
          </w:tcPr>
          <w:p>
            <w:pPr>
              <w:jc w:val="center"/>
              <w:spacing w:after="0"/>
              <w:rPr>
                <w:rFonts w:ascii="Times New Roman" w:cs="Times New Roman" w:eastAsia="Times New Roman" w:hAnsi="Times New Roman"/>
                <w:sz w:val="18"/>
                <w:szCs w:val="18"/>
                <w:color w:val="0000FF"/>
                <w:w w:val="96"/>
              </w:rPr>
            </w:pPr>
            <w:hyperlink r:id="rId196">
              <w:r>
                <w:rPr>
                  <w:rFonts w:ascii="Times New Roman" w:cs="Times New Roman" w:eastAsia="Times New Roman" w:hAnsi="Times New Roman"/>
                  <w:sz w:val="18"/>
                  <w:szCs w:val="18"/>
                  <w:color w:val="0000FF"/>
                  <w:w w:val="96"/>
                </w:rPr>
                <w:t>February 13, 2025</w:t>
              </w:r>
            </w:hyperlink>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-1559560</wp:posOffset>
            </wp:positionV>
            <wp:extent cx="7132320"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-805180</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-393700</wp:posOffset>
            </wp:positionV>
            <wp:extent cx="7132320" cy="265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17145</wp:posOffset>
            </wp:positionV>
            <wp:extent cx="71323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308610</wp:posOffset>
            </wp:positionV>
            <wp:extent cx="7132320" cy="266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840105</wp:posOffset>
            </wp:positionV>
            <wp:extent cx="713232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X</w:t>
      </w:r>
    </w:p>
    <w:p>
      <w:pPr>
        <w:spacing w:after="0" w:line="375" w:lineRule="exact"/>
        <w:rPr>
          <w:sz w:val="20"/>
          <w:szCs w:val="20"/>
          <w:color w:val="auto"/>
        </w:rPr>
      </w:pPr>
    </w:p>
    <w:p>
      <w:pPr>
        <w:sectPr>
          <w:pgSz w:w="11900" w:h="16838" w:orient="portrait"/>
          <w:cols w:equalWidth="0" w:num="3">
            <w:col w:w="4720" w:space="160"/>
            <w:col w:w="4900" w:space="720"/>
            <w:col w:w="440"/>
          </w:cols>
          <w:pgMar w:left="480" w:top="356" w:right="4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356" w:right="47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LENDINGCLUB CORPORATION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69"/>
        </w:trPr>
        <w:tc>
          <w:tcPr>
            <w:tcW w:w="9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32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2"/>
                <w:szCs w:val="12"/>
                <w:color w:val="auto"/>
              </w:rPr>
            </w:pPr>
          </w:p>
        </w:tc>
        <w:tc>
          <w:tcPr>
            <w:tcW w:w="40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94"/>
        </w:trPr>
        <w:tc>
          <w:tcPr>
            <w:tcW w:w="90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gridSpan w:val="2"/>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2"/>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80" w:type="dxa"/>
            <w:vAlign w:val="bottom"/>
            <w:gridSpan w:val="2"/>
          </w:tcPr>
          <w:p>
            <w:pPr>
              <w:jc w:val="center"/>
              <w:ind w:right="240"/>
              <w:spacing w:after="0" w:line="182" w:lineRule="exact"/>
              <w:rPr>
                <w:rFonts w:ascii="Times New Roman" w:cs="Times New Roman" w:eastAsia="Times New Roman" w:hAnsi="Times New Roman"/>
                <w:sz w:val="18"/>
                <w:szCs w:val="18"/>
                <w:color w:val="0000FF"/>
                <w:w w:val="95"/>
              </w:rPr>
            </w:pPr>
            <w:hyperlink r:id="rId20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4100" w:type="dxa"/>
            <w:vAlign w:val="bottom"/>
            <w:gridSpan w:val="3"/>
          </w:tcPr>
          <w:p>
            <w:pPr>
              <w:ind w:left="8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Clawback Policies</w:t>
              </w:r>
            </w:hyperlink>
          </w:p>
        </w:tc>
        <w:tc>
          <w:tcPr>
            <w:tcW w:w="440" w:type="dxa"/>
            <w:vAlign w:val="bottom"/>
          </w:tcPr>
          <w:p>
            <w:pPr>
              <w:spacing w:after="0"/>
              <w:rPr>
                <w:sz w:val="15"/>
                <w:szCs w:val="15"/>
                <w:color w:val="auto"/>
              </w:rPr>
            </w:pPr>
          </w:p>
        </w:tc>
        <w:tc>
          <w:tcPr>
            <w:tcW w:w="720" w:type="dxa"/>
            <w:vAlign w:val="bottom"/>
            <w:gridSpan w:val="2"/>
          </w:tcPr>
          <w:p>
            <w:pPr>
              <w:jc w:val="center"/>
              <w:ind w:right="34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10-K</w:t>
              </w:r>
            </w:hyperlink>
          </w:p>
        </w:tc>
        <w:tc>
          <w:tcPr>
            <w:tcW w:w="1300" w:type="dxa"/>
            <w:vAlign w:val="bottom"/>
            <w:gridSpan w:val="3"/>
          </w:tcPr>
          <w:p>
            <w:pPr>
              <w:jc w:val="right"/>
              <w:ind w:right="20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001-36771</w:t>
              </w:r>
            </w:hyperlink>
          </w:p>
        </w:tc>
        <w:tc>
          <w:tcPr>
            <w:tcW w:w="1160" w:type="dxa"/>
            <w:vAlign w:val="bottom"/>
            <w:gridSpan w:val="3"/>
          </w:tcPr>
          <w:p>
            <w:pPr>
              <w:jc w:val="center"/>
              <w:ind w:right="520"/>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1600" w:type="dxa"/>
            <w:vAlign w:val="bottom"/>
            <w:gridSpan w:val="2"/>
          </w:tcPr>
          <w:p>
            <w:pPr>
              <w:jc w:val="center"/>
              <w:ind w:right="280"/>
              <w:spacing w:after="0" w:line="182"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February 16, 2024</w:t>
              </w:r>
            </w:hyperlink>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information from LendingClub</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Corporation’s Annual Report on Form 10-K for the</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0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year ended December 31, 2025 formatted in Inline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XBRL (Extensible Business Reporting Language)</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5"/>
                <w:szCs w:val="15"/>
                <w:color w:val="auto"/>
              </w:rPr>
            </w:pPr>
          </w:p>
        </w:tc>
        <w:tc>
          <w:tcPr>
            <w:tcW w:w="410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includes: (i) the Consolidated Balance Sheets, (ii) the</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8"/>
        </w:trPr>
        <w:tc>
          <w:tcPr>
            <w:tcW w:w="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100" w:type="dxa"/>
            <w:vAlign w:val="bottom"/>
            <w:gridSpan w:val="3"/>
            <w:vMerge w:val="restart"/>
          </w:tcPr>
          <w:p>
            <w:pPr>
              <w:ind w:left="80"/>
              <w:spacing w:after="0" w:line="204" w:lineRule="exact"/>
              <w:rPr>
                <w:sz w:val="20"/>
                <w:szCs w:val="20"/>
                <w:color w:val="auto"/>
              </w:rPr>
            </w:pPr>
            <w:r>
              <w:rPr>
                <w:rFonts w:ascii="Times New Roman" w:cs="Times New Roman" w:eastAsia="Times New Roman" w:hAnsi="Times New Roman"/>
                <w:sz w:val="18"/>
                <w:szCs w:val="18"/>
                <w:color w:val="auto"/>
              </w:rPr>
              <w:t>Consolidated Statements of Income, (iii) the</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10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1174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ind w:left="980"/>
        <w:spacing w:after="0" w:line="203" w:lineRule="auto"/>
        <w:rPr>
          <w:sz w:val="20"/>
          <w:szCs w:val="20"/>
          <w:color w:val="auto"/>
        </w:rPr>
      </w:pPr>
      <w:r>
        <w:rPr>
          <w:rFonts w:ascii="Times New Roman" w:cs="Times New Roman" w:eastAsia="Times New Roman" w:hAnsi="Times New Roman"/>
          <w:sz w:val="18"/>
          <w:szCs w:val="18"/>
          <w:color w:val="auto"/>
        </w:rPr>
        <w:t>Consolidated Statements of Comprehensive Income,</w:t>
      </w:r>
    </w:p>
    <w:p>
      <w:pPr>
        <w:ind w:left="1280" w:hanging="296"/>
        <w:spacing w:after="0" w:line="203" w:lineRule="auto"/>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Changes in Equity,</w:t>
      </w:r>
    </w:p>
    <w:p>
      <w:pPr>
        <w:ind w:left="1240" w:hanging="256"/>
        <w:spacing w:after="0" w:line="219"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and</w:t>
      </w:r>
    </w:p>
    <w:p>
      <w:pPr>
        <w:ind w:left="1280" w:hanging="296"/>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7" w:lineRule="exact"/>
        <w:rPr>
          <w:sz w:val="20"/>
          <w:szCs w:val="20"/>
          <w:color w:val="auto"/>
        </w:rPr>
      </w:pPr>
    </w:p>
    <w:p>
      <w:pPr>
        <w:ind w:left="980" w:right="6700" w:hanging="628"/>
        <w:spacing w:after="0" w:line="183" w:lineRule="auto"/>
        <w:tabs>
          <w:tab w:leader="none" w:pos="980" w:val="left"/>
        </w:tabs>
        <w:numPr>
          <w:ilvl w:val="0"/>
          <w:numId w:val="96"/>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Cover Page Interactive Data File (as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35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SUBSIDIARIES OF LENDINGCLUB CORPORATION</w:t>
      </w:r>
    </w:p>
    <w:p>
      <w:pPr>
        <w:spacing w:after="0" w:line="260"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following are the subsidiaries of LendingClub Corporation as of December 31, 2025, omitting subsidiaries which, considered in the aggregate, would not constitute a significant subsidiary:</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2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left="2081"/>
              <w:spacing w:after="0" w:line="203" w:lineRule="exact"/>
              <w:rPr>
                <w:sz w:val="20"/>
                <w:szCs w:val="20"/>
                <w:color w:val="auto"/>
              </w:rPr>
            </w:pPr>
            <w:r>
              <w:rPr>
                <w:rFonts w:ascii="Times New Roman" w:cs="Times New Roman" w:eastAsia="Times New Roman" w:hAnsi="Times New Roman"/>
                <w:sz w:val="20"/>
                <w:szCs w:val="20"/>
                <w:b w:val="1"/>
                <w:bCs w:val="1"/>
                <w:color w:val="auto"/>
                <w:w w:val="98"/>
              </w:rPr>
              <w:t>Jurisdiction of</w:t>
            </w:r>
          </w:p>
        </w:tc>
        <w:tc>
          <w:tcPr>
            <w:tcW w:w="0" w:type="dxa"/>
            <w:vAlign w:val="bottom"/>
          </w:tcPr>
          <w:p>
            <w:pPr>
              <w:spacing w:after="0"/>
              <w:rPr>
                <w:sz w:val="1"/>
                <w:szCs w:val="1"/>
                <w:color w:val="auto"/>
              </w:rPr>
            </w:pPr>
          </w:p>
        </w:tc>
      </w:tr>
      <w:tr>
        <w:trPr>
          <w:trHeight w:val="203"/>
        </w:trPr>
        <w:tc>
          <w:tcPr>
            <w:tcW w:w="6820" w:type="dxa"/>
            <w:vAlign w:val="bottom"/>
            <w:vMerge w:val="restart"/>
          </w:tcPr>
          <w:p>
            <w:pPr>
              <w:ind w:left="3160"/>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4360" w:type="dxa"/>
            <w:vAlign w:val="bottom"/>
          </w:tcPr>
          <w:p>
            <w:pPr>
              <w:jc w:val="center"/>
              <w:ind w:left="2081"/>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56"/>
        </w:trPr>
        <w:tc>
          <w:tcPr>
            <w:tcW w:w="6820" w:type="dxa"/>
            <w:vAlign w:val="bottom"/>
            <w:tcBorders>
              <w:bottom w:val="single" w:sz="8" w:color="auto"/>
            </w:tcBorders>
            <w:vMerge w:val="continue"/>
          </w:tcPr>
          <w:p>
            <w:pPr>
              <w:spacing w:after="0"/>
              <w:rPr>
                <w:sz w:val="22"/>
                <w:szCs w:val="22"/>
                <w:color w:val="auto"/>
              </w:rPr>
            </w:pPr>
          </w:p>
        </w:tc>
        <w:tc>
          <w:tcPr>
            <w:tcW w:w="4360" w:type="dxa"/>
            <w:vAlign w:val="bottom"/>
            <w:tcBorders>
              <w:bottom w:val="single" w:sz="8" w:color="auto"/>
            </w:tcBorders>
          </w:tcPr>
          <w:p>
            <w:pPr>
              <w:jc w:val="center"/>
              <w:ind w:left="2101"/>
              <w:spacing w:after="0"/>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25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LendingClub Bank, National Association</w:t>
            </w:r>
          </w:p>
        </w:tc>
        <w:tc>
          <w:tcPr>
            <w:tcW w:w="4360" w:type="dxa"/>
            <w:vAlign w:val="bottom"/>
            <w:shd w:val="clear" w:color="auto" w:fill="CCEEFF"/>
          </w:tcPr>
          <w:p>
            <w:pPr>
              <w:jc w:val="center"/>
              <w:ind w:left="2081"/>
              <w:spacing w:after="0"/>
              <w:rPr>
                <w:sz w:val="20"/>
                <w:szCs w:val="20"/>
                <w:color w:val="auto"/>
              </w:rPr>
            </w:pPr>
            <w:r>
              <w:rPr>
                <w:rFonts w:ascii="Times New Roman" w:cs="Times New Roman" w:eastAsia="Times New Roman" w:hAnsi="Times New Roman"/>
                <w:sz w:val="20"/>
                <w:szCs w:val="20"/>
                <w:color w:val="auto"/>
                <w:w w:val="98"/>
              </w:rPr>
              <w:t>United States</w:t>
            </w:r>
          </w:p>
        </w:tc>
        <w:tc>
          <w:tcPr>
            <w:tcW w:w="0" w:type="dxa"/>
            <w:vAlign w:val="bottom"/>
          </w:tcPr>
          <w:p>
            <w:pPr>
              <w:spacing w:after="0"/>
              <w:rPr>
                <w:sz w:val="1"/>
                <w:szCs w:val="1"/>
                <w:color w:val="auto"/>
              </w:rPr>
            </w:pPr>
          </w:p>
        </w:tc>
      </w:tr>
      <w:tr>
        <w:trPr>
          <w:trHeight w:val="257"/>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LendingClub Structured Loan Certificate Issuer Trust</w:t>
            </w:r>
          </w:p>
        </w:tc>
        <w:tc>
          <w:tcPr>
            <w:tcW w:w="4360" w:type="dxa"/>
            <w:vAlign w:val="bottom"/>
            <w:tcBorders>
              <w:bottom w:val="single" w:sz="8" w:color="auto"/>
            </w:tcBorders>
          </w:tcPr>
          <w:p>
            <w:pPr>
              <w:jc w:val="center"/>
              <w:ind w:left="2101"/>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333-197570; 333-200676; 333-213647; 333-217731; 333-226899; 333-232518; 333-249973; 333-255688; 333-264892; 333-271576 and 333-281221 on Form S-8 of our reports dated February 12, 2026, relating to the consolidated financial statements of LendingClub Corporation, and the effectiveness of LendingClub Corporation's internal control over financial reporting, appearing in this Annual Report on Form 10-K for the year ended December 31, 2025, and to the reference to us under the heading “Experts” in the Prospectus, which is part of these Registration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2026</w:t>
      </w:r>
    </w:p>
    <w:p>
      <w:pPr>
        <w:sectPr>
          <w:pgSz w:w="11900" w:h="16838" w:orient="portrait"/>
          <w:cols w:equalWidth="0" w:num="1">
            <w:col w:w="11240"/>
          </w:cols>
          <w:pgMar w:left="320" w:top="35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Sanborn, certify that:</w:t>
      </w:r>
    </w:p>
    <w:p>
      <w:pPr>
        <w:spacing w:after="0" w:line="351"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LendingClub Corporation;</w:t>
      </w:r>
    </w:p>
    <w:p>
      <w:pPr>
        <w:spacing w:after="0" w:line="67" w:lineRule="exact"/>
        <w:rPr>
          <w:rFonts w:ascii="Times New Roman" w:cs="Times New Roman" w:eastAsia="Times New Roman" w:hAnsi="Times New Roman"/>
          <w:sz w:val="20"/>
          <w:szCs w:val="20"/>
          <w:color w:val="auto"/>
        </w:rPr>
      </w:pPr>
    </w:p>
    <w:p>
      <w:pPr>
        <w:ind w:left="340" w:right="160" w:hanging="332"/>
        <w:spacing w:after="0" w:line="261" w:lineRule="auto"/>
        <w:tabs>
          <w:tab w:leader="none" w:pos="3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20"/>
          <w:szCs w:val="20"/>
          <w:color w:val="auto"/>
        </w:rPr>
      </w:pPr>
    </w:p>
    <w:p>
      <w:pPr>
        <w:ind w:left="340" w:right="220" w:hanging="332"/>
        <w:spacing w:after="0" w:line="289" w:lineRule="auto"/>
        <w:tabs>
          <w:tab w:leader="none" w:pos="34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00" w:hanging="332"/>
        <w:spacing w:after="0" w:line="271" w:lineRule="auto"/>
        <w:tabs>
          <w:tab w:leader="none" w:pos="34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99" w:lineRule="exact"/>
        <w:rPr>
          <w:rFonts w:ascii="Times New Roman" w:cs="Times New Roman" w:eastAsia="Times New Roman" w:hAnsi="Times New Roman"/>
          <w:sz w:val="19"/>
          <w:szCs w:val="19"/>
          <w:color w:val="auto"/>
        </w:rPr>
      </w:pPr>
    </w:p>
    <w:p>
      <w:pPr>
        <w:ind w:left="980" w:right="140" w:hanging="324"/>
        <w:spacing w:after="0" w:line="261" w:lineRule="auto"/>
        <w:tabs>
          <w:tab w:leader="none" w:pos="100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20"/>
          <w:szCs w:val="20"/>
          <w:color w:val="auto"/>
        </w:rPr>
      </w:pPr>
    </w:p>
    <w:p>
      <w:pPr>
        <w:ind w:left="980" w:right="240" w:hanging="324"/>
        <w:spacing w:after="0" w:line="261" w:lineRule="auto"/>
        <w:tabs>
          <w:tab w:leader="none" w:pos="101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100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0"/>
          <w:szCs w:val="20"/>
          <w:color w:val="auto"/>
        </w:rPr>
      </w:pPr>
    </w:p>
    <w:p>
      <w:pPr>
        <w:ind w:left="980" w:right="400" w:hanging="324"/>
        <w:spacing w:after="0" w:line="261" w:lineRule="auto"/>
        <w:tabs>
          <w:tab w:leader="none" w:pos="101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Times New Roman" w:cs="Times New Roman" w:eastAsia="Times New Roman" w:hAnsi="Times New Roman"/>
          <w:sz w:val="20"/>
          <w:szCs w:val="20"/>
          <w:color w:val="auto"/>
        </w:rPr>
      </w:pPr>
    </w:p>
    <w:p>
      <w:pPr>
        <w:ind w:left="340" w:right="140" w:hanging="332"/>
        <w:spacing w:after="0" w:line="261" w:lineRule="auto"/>
        <w:tabs>
          <w:tab w:leader="none" w:pos="3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Times New Roman" w:cs="Times New Roman" w:eastAsia="Times New Roman" w:hAnsi="Times New Roman"/>
          <w:sz w:val="20"/>
          <w:szCs w:val="20"/>
          <w:color w:val="auto"/>
        </w:rPr>
      </w:pPr>
    </w:p>
    <w:p>
      <w:pPr>
        <w:ind w:left="980" w:right="100" w:hanging="324"/>
        <w:spacing w:after="0" w:line="261" w:lineRule="auto"/>
        <w:tabs>
          <w:tab w:leader="none" w:pos="997"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20"/>
          <w:szCs w:val="20"/>
          <w:color w:val="auto"/>
        </w:rPr>
      </w:pPr>
    </w:p>
    <w:p>
      <w:pPr>
        <w:ind w:left="980" w:right="120" w:hanging="324"/>
        <w:spacing w:after="0" w:line="283" w:lineRule="auto"/>
        <w:tabs>
          <w:tab w:leader="none" w:pos="100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37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/s/ SCOTT SANBORN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color w:val="auto"/>
        </w:rPr>
        <w:t>Scott Sanborn</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882"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Andrew LaBenne, certify that:</w:t>
      </w:r>
    </w:p>
    <w:p>
      <w:pPr>
        <w:spacing w:after="0" w:line="364"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LendingClub Corporation;</w:t>
      </w:r>
    </w:p>
    <w:p>
      <w:pPr>
        <w:spacing w:after="0" w:line="53" w:lineRule="exact"/>
        <w:rPr>
          <w:rFonts w:ascii="Times New Roman" w:cs="Times New Roman" w:eastAsia="Times New Roman" w:hAnsi="Times New Roman"/>
          <w:sz w:val="20"/>
          <w:szCs w:val="20"/>
          <w:color w:val="auto"/>
        </w:rPr>
      </w:pPr>
    </w:p>
    <w:p>
      <w:pPr>
        <w:ind w:left="340" w:right="140" w:hanging="332"/>
        <w:spacing w:after="0" w:line="267" w:lineRule="auto"/>
        <w:tabs>
          <w:tab w:leader="none" w:pos="36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40" w:right="220" w:hanging="332"/>
        <w:spacing w:after="0" w:line="289" w:lineRule="auto"/>
        <w:tabs>
          <w:tab w:leader="none" w:pos="36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00" w:hanging="332"/>
        <w:spacing w:after="0" w:line="275" w:lineRule="auto"/>
        <w:tabs>
          <w:tab w:leader="none" w:pos="35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92" w:lineRule="exact"/>
        <w:rPr>
          <w:rFonts w:ascii="Times New Roman" w:cs="Times New Roman" w:eastAsia="Times New Roman" w:hAnsi="Times New Roman"/>
          <w:sz w:val="19"/>
          <w:szCs w:val="19"/>
          <w:color w:val="auto"/>
        </w:rPr>
      </w:pPr>
    </w:p>
    <w:p>
      <w:pPr>
        <w:ind w:left="980" w:right="140" w:hanging="324"/>
        <w:spacing w:after="0" w:line="261" w:lineRule="auto"/>
        <w:tabs>
          <w:tab w:leader="none" w:pos="100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20"/>
          <w:szCs w:val="20"/>
          <w:color w:val="auto"/>
        </w:rPr>
      </w:pPr>
    </w:p>
    <w:p>
      <w:pPr>
        <w:ind w:left="980" w:right="240" w:hanging="324"/>
        <w:spacing w:after="0" w:line="261" w:lineRule="auto"/>
        <w:tabs>
          <w:tab w:leader="none" w:pos="101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100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20"/>
          <w:szCs w:val="20"/>
          <w:color w:val="auto"/>
        </w:rPr>
      </w:pPr>
    </w:p>
    <w:p>
      <w:pPr>
        <w:ind w:left="980" w:right="400" w:hanging="324"/>
        <w:spacing w:after="0" w:line="267" w:lineRule="auto"/>
        <w:tabs>
          <w:tab w:leader="none" w:pos="101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40" w:right="140" w:hanging="332"/>
        <w:spacing w:after="0" w:line="261" w:lineRule="auto"/>
        <w:tabs>
          <w:tab w:leader="none" w:pos="35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Times New Roman" w:cs="Times New Roman" w:eastAsia="Times New Roman" w:hAnsi="Times New Roman"/>
          <w:sz w:val="20"/>
          <w:szCs w:val="20"/>
          <w:color w:val="auto"/>
        </w:rPr>
      </w:pPr>
    </w:p>
    <w:p>
      <w:pPr>
        <w:ind w:left="980" w:right="100" w:hanging="324"/>
        <w:spacing w:after="0" w:line="261" w:lineRule="auto"/>
        <w:tabs>
          <w:tab w:leader="none" w:pos="99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20"/>
          <w:szCs w:val="20"/>
          <w:color w:val="auto"/>
        </w:rPr>
      </w:pPr>
    </w:p>
    <w:p>
      <w:pPr>
        <w:ind w:left="980" w:right="120" w:hanging="324"/>
        <w:spacing w:after="0" w:line="269" w:lineRule="auto"/>
        <w:tabs>
          <w:tab w:leader="none" w:pos="100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37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22860</wp:posOffset>
            </wp:positionV>
            <wp:extent cx="30861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Andrew LaBenne</w:t>
      </w:r>
    </w:p>
    <w:p>
      <w:pPr>
        <w:spacing w:after="0" w:line="2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ectPr>
          <w:pgSz w:w="11900" w:h="16838" w:orient="portrait"/>
          <w:cols w:equalWidth="0" w:num="1">
            <w:col w:w="11240"/>
          </w:cols>
          <w:pgMar w:left="320" w:top="88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LendingClub Corporation (the “Company”) on Form 10-K for the year ended December 31, 2025,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99"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right="260" w:hanging="652"/>
        <w:spacing w:after="0" w:line="283" w:lineRule="auto"/>
        <w:tabs>
          <w:tab w:leader="none" w:pos="355"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/s/ SCOTT SANBORN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22860</wp:posOffset>
            </wp:positionV>
            <wp:extent cx="3514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Scott Sanborn</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00" w:lineRule="exact"/>
        <w:rPr>
          <w:sz w:val="20"/>
          <w:szCs w:val="20"/>
          <w:color w:val="auto"/>
        </w:rPr>
      </w:pPr>
    </w:p>
    <w:p>
      <w:pPr>
        <w:spacing w:after="0" w:line="36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22860</wp:posOffset>
            </wp:positionV>
            <wp:extent cx="3514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Andrew LaBenne</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6480" w:val="left"/>
        </w:tabs>
        <w:rPr>
          <w:sz w:val="20"/>
          <w:szCs w:val="20"/>
          <w:color w:val="auto"/>
        </w:rPr>
      </w:pPr>
      <w:r>
        <w:rPr>
          <w:rFonts w:ascii="Times New Roman" w:cs="Times New Roman" w:eastAsia="Times New Roman" w:hAnsi="Times New Roman"/>
          <w:sz w:val="20"/>
          <w:szCs w:val="20"/>
          <w:color w:val="auto"/>
        </w:rPr>
        <w:t>Dated:</w:t>
        <w:tab/>
        <w:t>February 12, 2026</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lvl w:ilvl="1">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lowerRoman"/>
      <w:start w:val="1"/>
    </w:lvl>
  </w:abstractNum>
  <w:abstractNum w:abstractNumId="24">
    <w:nsid w:val="61574095"/>
    <w:multiLevelType w:val="hybridMultilevel"/>
    <w:lvl w:ilvl="0">
      <w:lvlJc w:val="left"/>
      <w:lvlText w:val="(%1)"/>
      <w:numFmt w:val="lowerRoman"/>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lowerRoman"/>
      <w:start w:val="2"/>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
      <w:numFmt w:val="bullet"/>
      <w:start w:val="1"/>
    </w:lvl>
    <w:lvl w:ilvl="1">
      <w:lvlJc w:val="left"/>
      <w:lvlText w:val="◦"/>
      <w:numFmt w:val="bullet"/>
      <w:start w:val="1"/>
    </w:lvl>
  </w:abstractNum>
  <w:abstractNum w:abstractNumId="32">
    <w:nsid w:val="1DBABF00"/>
    <w:multiLevelType w:val="hybridMultilevel"/>
    <w:lvl w:ilvl="0">
      <w:lvlJc w:val="left"/>
      <w:lvlText w:val="•"/>
      <w:numFmt w:val="bullet"/>
      <w:start w:val="1"/>
    </w:lvl>
    <w:lvl w:ilvl="1">
      <w:lvlJc w:val="left"/>
      <w:lvlText w:val="◦"/>
      <w:numFmt w:val="bullet"/>
      <w:start w:val="1"/>
    </w:lvl>
  </w:abstractNum>
  <w:abstractNum w:abstractNumId="33">
    <w:nsid w:val="4AD084E9"/>
    <w:multiLevelType w:val="hybridMultilevel"/>
    <w:lvl w:ilvl="0">
      <w:lvlJc w:val="left"/>
      <w:lvlText w:val="(%1)"/>
      <w:numFmt w:val="decimal"/>
      <w:start w:val="4"/>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lowerRoman"/>
      <w:start w:val="2"/>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lowerRoman"/>
      <w:start w:val="2"/>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decimal"/>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decimal"/>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lowerRoman"/>
      <w:start w:val="4"/>
    </w:lvl>
  </w:abstractNum>
  <w:abstractNum w:abstractNumId="95">
    <w:nsid w:val="488AC1A"/>
    <w:multiLevelType w:val="hybridMultilevel"/>
    <w:lvl w:ilvl="0">
      <w:lvlJc w:val="left"/>
      <w:lvlText w:val="%1"/>
      <w:numFmt w:val="decimal"/>
      <w:start w:val="104"/>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180" Type="http://schemas.openxmlformats.org/officeDocument/2006/relationships/hyperlink" Target="https://www.sec.gov/Archives/edgar/data/1409970/000140997024000039/exhibit31asfiledon8124.htm" TargetMode="External"/><Relationship Id="rId181" Type="http://schemas.openxmlformats.org/officeDocument/2006/relationships/hyperlink" Target="https://www.sec.gov/Archives/edgar/data/1409970/000140997018000766/exhibit31.htm" TargetMode="External"/><Relationship Id="rId182" Type="http://schemas.openxmlformats.org/officeDocument/2006/relationships/hyperlink" Target="https://www.sec.gov/Archives/edgar/data/1409970/000140997019001368/lc09302019ex41.htm" TargetMode="External"/><Relationship Id="rId183" Type="http://schemas.openxmlformats.org/officeDocument/2006/relationships/hyperlink" Target="https://www.sec.gov/Archives/edgar/data/1409970/000140997025000009/lc12312024ex42.htm" TargetMode="External"/><Relationship Id="rId184" Type="http://schemas.openxmlformats.org/officeDocument/2006/relationships/hyperlink" Target="https://www.sec.gov/Archives/edgar/data/1409970/000119312514428454/d766811dex101.htm" TargetMode="External"/><Relationship Id="rId185" Type="http://schemas.openxmlformats.org/officeDocument/2006/relationships/hyperlink" Target="https://www.sec.gov/Archives/edgar/data/1409970/000140997020000212/lc12312019ex102.htm" TargetMode="External"/><Relationship Id="rId186" Type="http://schemas.openxmlformats.org/officeDocument/2006/relationships/hyperlink" Target="https://www.sec.gov/Archives/edgar/data/1409970/000140997025000009/lc12312024ex103.htm" TargetMode="External"/><Relationship Id="rId190" Type="http://schemas.openxmlformats.org/officeDocument/2006/relationships/hyperlink" Target="https://www.sec.gov/Archives/edgar/data/1409970/000119312514428454/d766811dex1015.htm" TargetMode="External"/><Relationship Id="rId191" Type="http://schemas.openxmlformats.org/officeDocument/2006/relationships/hyperlink" Target="https://www.sec.gov/Archives/edgar/data/1409970/000119312514428454/d766811dex1016.htm" TargetMode="External"/><Relationship Id="rId192" Type="http://schemas.openxmlformats.org/officeDocument/2006/relationships/hyperlink" Target="https://www.sec.gov/Archives/edgar/data/1409970/000162828015003709/lc-11052014xex1031.htm" TargetMode="External"/><Relationship Id="rId193" Type="http://schemas.openxmlformats.org/officeDocument/2006/relationships/hyperlink" Target="https://www.sec.gov/Archives/edgar/data/1409970/000140997021000028/exhibit993asfiledon43021.htm" TargetMode="External"/><Relationship Id="rId194" Type="http://schemas.openxmlformats.org/officeDocument/2006/relationships/hyperlink" Target="https://www.sec.gov/Archives/edgar/data/1409970/000140997023000012/lc12312022ex109.htm" TargetMode="External"/><Relationship Id="rId195" Type="http://schemas.openxmlformats.org/officeDocument/2006/relationships/hyperlink" Target="https://www.sec.gov/Archives/edgar/data/1409970/000140997024000039/exhibit101asfiledon8124.htm" TargetMode="External"/><Relationship Id="rId196" Type="http://schemas.openxmlformats.org/officeDocument/2006/relationships/hyperlink" Target="https://www.sec.gov/Archives/edgar/data/1409970/000140997025000009/ex191insidertradingpolicy.htm" TargetMode="External"/><Relationship Id="rId204" Type="http://schemas.openxmlformats.org/officeDocument/2006/relationships/hyperlink" Target="https://www.sec.gov/Archives/edgar/data/1409970/000140997024000009/lc1231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2026-02-12T15:29:18Z</dcterms:created>
  <dcterms:modified xsi:type="dcterms:W3CDTF">2026-02-12T15:29:18Z</dcterms:modified>
</cp:coreProperties>
</file>