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FORM8-K</w:t>
      </w:r>
    </w:p>
    <w:p>
      <w:pPr>
        <w:spacing w:after="0" w:line="13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LendingClub Corporation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Commission File Number: 001-36771</w:t>
      </w:r>
    </w:p>
    <w:p>
      <w:pPr>
        <w:spacing w:after="0" w:line="355" w:lineRule="exact"/>
        <w:rPr>
          <w:sz w:val="24"/>
          <w:szCs w:val="24"/>
          <w:color w:val="auto"/>
        </w:rPr>
      </w:pPr>
    </w:p>
    <w:p>
      <w:pPr>
        <w:ind w:left="2460"/>
        <w:spacing w:after="0"/>
        <w:tabs>
          <w:tab w:leader="none" w:pos="79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51-0605731</w:t>
      </w:r>
    </w:p>
    <w:p>
      <w:pPr>
        <w:spacing w:after="0" w:line="27" w:lineRule="exact"/>
        <w:rPr>
          <w:sz w:val="24"/>
          <w:szCs w:val="24"/>
          <w:color w:val="auto"/>
        </w:rPr>
      </w:pPr>
    </w:p>
    <w:p>
      <w:pPr>
        <w:ind w:left="1880"/>
        <w:spacing w:after="0"/>
        <w:tabs>
          <w:tab w:leader="none" w:pos="7840" w:val="left"/>
        </w:tabs>
        <w:rPr>
          <w:sz w:val="20"/>
          <w:szCs w:val="20"/>
          <w:color w:val="auto"/>
        </w:rPr>
      </w:pPr>
      <w:r>
        <w:rPr>
          <w:rFonts w:ascii="Times New Roman" w:cs="Times New Roman" w:eastAsia="Times New Roman" w:hAnsi="Times New Roman"/>
          <w:sz w:val="16"/>
          <w:szCs w:val="16"/>
          <w:color w:val="auto"/>
        </w:rPr>
        <w:t>(State or other jurisdiction of</w:t>
      </w:r>
      <w:r>
        <w:rPr>
          <w:sz w:val="20"/>
          <w:szCs w:val="20"/>
          <w:color w:val="auto"/>
        </w:rPr>
        <w:tab/>
      </w:r>
      <w:r>
        <w:rPr>
          <w:rFonts w:ascii="Times New Roman" w:cs="Times New Roman" w:eastAsia="Times New Roman" w:hAnsi="Times New Roman"/>
          <w:sz w:val="16"/>
          <w:szCs w:val="16"/>
          <w:color w:val="auto"/>
        </w:rPr>
        <w:t>(I.R.S. Employer</w:t>
      </w:r>
    </w:p>
    <w:p>
      <w:pPr>
        <w:ind w:left="1840"/>
        <w:spacing w:after="0"/>
        <w:tabs>
          <w:tab w:leader="none" w:pos="7800" w:val="left"/>
        </w:tabs>
        <w:rPr>
          <w:sz w:val="20"/>
          <w:szCs w:val="20"/>
          <w:color w:val="auto"/>
        </w:rPr>
      </w:pPr>
      <w:r>
        <w:rPr>
          <w:rFonts w:ascii="Times New Roman" w:cs="Times New Roman" w:eastAsia="Times New Roman" w:hAnsi="Times New Roman"/>
          <w:sz w:val="16"/>
          <w:szCs w:val="16"/>
          <w:color w:val="auto"/>
        </w:rPr>
        <w:t>incorporation or organization)</w:t>
      </w:r>
      <w:r>
        <w:rPr>
          <w:sz w:val="20"/>
          <w:szCs w:val="20"/>
          <w:color w:val="auto"/>
        </w:rPr>
        <w:tab/>
      </w:r>
      <w:r>
        <w:rPr>
          <w:rFonts w:ascii="Times New Roman" w:cs="Times New Roman" w:eastAsia="Times New Roman" w:hAnsi="Times New Roman"/>
          <w:sz w:val="16"/>
          <w:szCs w:val="16"/>
          <w:color w:val="auto"/>
        </w:rPr>
        <w:t>Identification No.)</w:t>
      </w:r>
    </w:p>
    <w:p>
      <w:pPr>
        <w:spacing w:after="0" w:line="23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88 Kearny Street, Suite 600,</w:t>
      </w:r>
    </w:p>
    <w:p>
      <w:pPr>
        <w:spacing w:after="0" w:line="77" w:lineRule="exact"/>
        <w:rPr>
          <w:sz w:val="24"/>
          <w:szCs w:val="24"/>
          <w:color w:val="auto"/>
        </w:rPr>
      </w:pPr>
    </w:p>
    <w:p>
      <w:pPr>
        <w:ind w:left="4600"/>
        <w:spacing w:after="0"/>
        <w:tabs>
          <w:tab w:leader="none" w:pos="6240" w:val="left"/>
        </w:tabs>
        <w:rPr>
          <w:sz w:val="20"/>
          <w:szCs w:val="20"/>
          <w:color w:val="auto"/>
        </w:rPr>
      </w:pPr>
      <w:r>
        <w:rPr>
          <w:rFonts w:ascii="Times New Roman" w:cs="Times New Roman" w:eastAsia="Times New Roman" w:hAnsi="Times New Roman"/>
          <w:sz w:val="18"/>
          <w:szCs w:val="18"/>
          <w:b w:val="1"/>
          <w:bCs w:val="1"/>
          <w:color w:val="auto"/>
        </w:rPr>
        <w:t>San Francisco, CA</w:t>
        <w:tab/>
        <w:t>94108</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24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415 930-7440</w:t>
      </w:r>
    </w:p>
    <w:p>
      <w:pPr>
        <w:spacing w:after="0" w:line="11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 xml:space="preserve">Former name or former address, if changed since last report: </w:t>
      </w:r>
      <w:r>
        <w:rPr>
          <w:rFonts w:ascii="Times New Roman" w:cs="Times New Roman" w:eastAsia="Times New Roman" w:hAnsi="Times New Roman"/>
          <w:sz w:val="19"/>
          <w:szCs w:val="19"/>
          <w:color w:val="auto"/>
        </w:rPr>
        <w:t>N/A</w:t>
      </w:r>
    </w:p>
    <w:p>
      <w:pPr>
        <w:spacing w:after="0" w:line="133" w:lineRule="exact"/>
        <w:rPr>
          <w:sz w:val="24"/>
          <w:szCs w:val="24"/>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92"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175"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75"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75"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39"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00" w:type="dxa"/>
            <w:vAlign w:val="bottom"/>
          </w:tcPr>
          <w:p>
            <w:pPr>
              <w:spacing w:after="0"/>
              <w:rPr>
                <w:sz w:val="18"/>
                <w:szCs w:val="18"/>
                <w:color w:val="auto"/>
              </w:rPr>
            </w:pPr>
          </w:p>
        </w:tc>
        <w:tc>
          <w:tcPr>
            <w:tcW w:w="33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7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760" w:type="dxa"/>
            <w:vAlign w:val="bottom"/>
          </w:tcPr>
          <w:p>
            <w:pPr>
              <w:spacing w:after="0"/>
              <w:rPr>
                <w:sz w:val="21"/>
                <w:szCs w:val="21"/>
                <w:color w:val="auto"/>
              </w:rPr>
            </w:pPr>
          </w:p>
        </w:tc>
        <w:tc>
          <w:tcPr>
            <w:tcW w:w="254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LC</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ectPr>
          <w:pgSz w:w="11900" w:h="16838" w:orient="portrait"/>
          <w:cols w:equalWidth="0" w:num="1">
            <w:col w:w="11200"/>
          </w:cols>
          <w:pgMar w:left="320" w:top="754" w:right="379" w:bottom="1440" w:gutter="0" w:footer="0" w:header="0"/>
        </w:sectPr>
      </w:pPr>
    </w:p>
    <w:p>
      <w:pPr>
        <w:spacing w:after="0" w:line="101" w:lineRule="exact"/>
        <w:rPr>
          <w:sz w:val="24"/>
          <w:szCs w:val="24"/>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380"/>
        <w:spacing w:after="0"/>
        <w:rPr>
          <w:sz w:val="20"/>
          <w:szCs w:val="20"/>
          <w:color w:val="auto"/>
        </w:rPr>
      </w:pPr>
      <w:r>
        <w:rPr>
          <w:rFonts w:ascii="Times New Roman" w:cs="Times New Roman" w:eastAsia="Times New Roman" w:hAnsi="Times New Roman"/>
          <w:sz w:val="19"/>
          <w:szCs w:val="19"/>
          <w:color w:val="auto"/>
        </w:rPr>
        <w:t>Emerging growth company</w:t>
      </w:r>
    </w:p>
    <w:p>
      <w:pPr>
        <w:spacing w:after="0" w:line="146" w:lineRule="exact"/>
        <w:rPr>
          <w:sz w:val="24"/>
          <w:szCs w:val="24"/>
          <w:color w:val="auto"/>
        </w:rPr>
      </w:pPr>
    </w:p>
    <w:p>
      <w:pPr>
        <w:ind w:left="20" w:right="360"/>
        <w:spacing w:after="0"/>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35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540" w:space="480"/>
            <w:col w:w="180"/>
          </w:cols>
          <w:pgMar w:left="320" w:top="754" w:right="37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6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Item 5.07</w:t>
            </w:r>
          </w:p>
        </w:tc>
        <w:tc>
          <w:tcPr>
            <w:tcW w:w="45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w w:val="98"/>
              </w:rPr>
              <w:t>Submission of Matters to a Vote of Security Holders</w:t>
            </w: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On June 2, 2026, LendingClub Corporation (the “Company”) convened its annual meeting of stockholders (the “Annual Meeting”). Present at the Annual Meeting in person or by proxy were holders of 92,014,166 shares of common stock, representing 79.66% of the shares of common stock outstanding and entitled to vote as of April 9, 2026, the record date for the Annual Meeting, and constituting a quorum for the transaction of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stockholders of the Company voted on the following proposals at the Annual Meeting:</w:t>
      </w:r>
    </w:p>
    <w:p>
      <w:pPr>
        <w:spacing w:after="0" w:line="243" w:lineRule="exact"/>
        <w:rPr>
          <w:sz w:val="20"/>
          <w:szCs w:val="20"/>
          <w:color w:val="auto"/>
        </w:rPr>
      </w:pPr>
    </w:p>
    <w:p>
      <w:pPr>
        <w:ind w:left="660" w:right="520" w:hanging="328"/>
        <w:spacing w:after="0" w:line="261"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election of Kathryn Reimann, Scott Sanborn and Michael Zeisser as Class III directors each to serve until the 2029 Annual Meeting of Stockholders or until his or her successor has been elected and qualified or his or her earlier death, resignation or removal.</w:t>
      </w:r>
    </w:p>
    <w:p>
      <w:pPr>
        <w:spacing w:after="0" w:line="208" w:lineRule="exact"/>
        <w:rPr>
          <w:rFonts w:ascii="Times New Roman" w:cs="Times New Roman" w:eastAsia="Times New Roman" w:hAnsi="Times New Roman"/>
          <w:sz w:val="20"/>
          <w:szCs w:val="20"/>
          <w:color w:val="auto"/>
        </w:rPr>
      </w:pPr>
    </w:p>
    <w:p>
      <w:pPr>
        <w:ind w:left="660" w:right="300" w:hanging="328"/>
        <w:spacing w:after="0" w:line="283"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on a non-binding advisory basis, of the compensation of the Company’s named executive officers as set forth in the Company’s proxy statement.</w:t>
      </w:r>
    </w:p>
    <w:p>
      <w:pPr>
        <w:spacing w:after="0" w:line="173"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ratification of the appointment of Deloitte &amp; Touche LLP as the Company’s independent registered public accounting firm for the fiscal year ending December 31, 2026.</w:t>
      </w:r>
    </w:p>
    <w:p>
      <w:pPr>
        <w:spacing w:after="0" w:line="173" w:lineRule="exact"/>
        <w:rPr>
          <w:rFonts w:ascii="Times New Roman" w:cs="Times New Roman" w:eastAsia="Times New Roman" w:hAnsi="Times New Roman"/>
          <w:sz w:val="20"/>
          <w:szCs w:val="20"/>
          <w:color w:val="auto"/>
        </w:rPr>
      </w:pPr>
    </w:p>
    <w:p>
      <w:pPr>
        <w:ind w:left="660" w:right="900" w:hanging="328"/>
        <w:spacing w:after="0" w:line="283"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of a management proposal to amend and restate the Company’s Eighth Amended and Restated Certificate of Incorporation to phase in the declassification of the Company’s Board of Directors.</w:t>
      </w:r>
    </w:p>
    <w:p>
      <w:pPr>
        <w:spacing w:after="0" w:line="186" w:lineRule="exact"/>
        <w:rPr>
          <w:rFonts w:ascii="Times New Roman" w:cs="Times New Roman" w:eastAsia="Times New Roman" w:hAnsi="Times New Roman"/>
          <w:sz w:val="20"/>
          <w:szCs w:val="20"/>
          <w:color w:val="auto"/>
        </w:rPr>
      </w:pPr>
    </w:p>
    <w:p>
      <w:pPr>
        <w:ind w:left="660" w:right="900" w:hanging="328"/>
        <w:spacing w:after="0" w:line="269"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of a management proposal to amend and restate the Company’s Eighth Amended and Restated Certificate of Incorporation to remove the supermajority voting requirements to amend the Company’s governing documents.</w:t>
      </w:r>
    </w:p>
    <w:p>
      <w:pPr>
        <w:spacing w:after="0" w:line="200"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For more information about the proposals, see the Company’s proxy statement dated April 21, 2026. The final results for each of the proposals submitted to a vote at the Annual Meeting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80" w:type="dxa"/>
            <w:vAlign w:val="bottom"/>
            <w:gridSpan w:val="2"/>
          </w:tcPr>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1.  Election of Directors</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368"/>
        </w:trPr>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Nominees - Class III Directors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Votes For</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6"/>
              </w:rPr>
              <w:t>Votes Against</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Votes Abstained</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54"/>
        </w:trPr>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Kathryn Reimann</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78,322,887</w:t>
            </w:r>
          </w:p>
        </w:tc>
        <w:tc>
          <w:tcPr>
            <w:tcW w:w="10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1,513,807</w:t>
            </w:r>
          </w:p>
        </w:tc>
        <w:tc>
          <w:tcPr>
            <w:tcW w:w="10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11,646</w:t>
            </w:r>
          </w:p>
        </w:tc>
        <w:tc>
          <w:tcPr>
            <w:tcW w:w="100" w:type="dxa"/>
            <w:vAlign w:val="bottom"/>
            <w:tcBorders>
              <w:top w:val="single" w:sz="8" w:color="CCEEFF"/>
            </w:tcBorders>
            <w:shd w:val="clear" w:color="auto" w:fill="CCEEFF"/>
          </w:tcPr>
          <w:p>
            <w:pPr>
              <w:spacing w:after="0"/>
              <w:rPr>
                <w:sz w:val="22"/>
                <w:szCs w:val="22"/>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12,165,826</w:t>
            </w:r>
          </w:p>
        </w:tc>
      </w:tr>
      <w:tr>
        <w:trPr>
          <w:trHeight w:val="257"/>
        </w:trPr>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7"/>
              </w:rPr>
              <w:t>Scott Sanborn</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78,134,719</w:t>
            </w:r>
          </w:p>
        </w:tc>
        <w:tc>
          <w:tcPr>
            <w:tcW w:w="1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1,702,913</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10,708</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12,165,826</w:t>
            </w:r>
          </w:p>
        </w:tc>
      </w:tr>
      <w:tr>
        <w:trPr>
          <w:trHeight w:val="256"/>
        </w:trPr>
        <w:tc>
          <w:tcPr>
            <w:tcW w:w="3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8"/>
              </w:rPr>
              <w:t>Michael Zeisser</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76,604,666</w:t>
            </w:r>
          </w:p>
        </w:tc>
        <w:tc>
          <w:tcPr>
            <w:tcW w:w="100" w:type="dxa"/>
            <w:vAlign w:val="bottom"/>
            <w:shd w:val="clear" w:color="auto" w:fill="CCEEFF"/>
          </w:tcPr>
          <w:p>
            <w:pPr>
              <w:spacing w:after="0"/>
              <w:rPr>
                <w:sz w:val="22"/>
                <w:szCs w:val="22"/>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3,231,868</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11,806</w:t>
            </w:r>
          </w:p>
        </w:tc>
        <w:tc>
          <w:tcPr>
            <w:tcW w:w="100" w:type="dxa"/>
            <w:vAlign w:val="bottom"/>
            <w:shd w:val="clear" w:color="auto" w:fill="CCEEFF"/>
          </w:tcPr>
          <w:p>
            <w:pPr>
              <w:spacing w:after="0"/>
              <w:rPr>
                <w:sz w:val="22"/>
                <w:szCs w:val="22"/>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12,165,826</w:t>
            </w:r>
          </w:p>
        </w:tc>
      </w:tr>
    </w:tbl>
    <w:p>
      <w:pPr>
        <w:spacing w:after="0" w:line="315" w:lineRule="exact"/>
        <w:rPr>
          <w:sz w:val="20"/>
          <w:szCs w:val="20"/>
          <w:color w:val="auto"/>
        </w:rPr>
      </w:pPr>
    </w:p>
    <w:p>
      <w:pPr>
        <w:ind w:right="60" w:firstLine="445"/>
        <w:spacing w:after="0" w:line="283" w:lineRule="auto"/>
        <w:rPr>
          <w:sz w:val="20"/>
          <w:szCs w:val="20"/>
          <w:color w:val="auto"/>
        </w:rPr>
      </w:pPr>
      <w:r>
        <w:rPr>
          <w:rFonts w:ascii="Times New Roman" w:cs="Times New Roman" w:eastAsia="Times New Roman" w:hAnsi="Times New Roman"/>
          <w:sz w:val="20"/>
          <w:szCs w:val="20"/>
          <w:color w:val="auto"/>
        </w:rPr>
        <w:t>Based on the votes set forth above, each Class III director nominee was elected to serve until the 2029 Annual Meeting of Stockholders or until his or her successor has been elected and qualified or his or her earlier death, resignation or removal.</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8480" w:type="dxa"/>
            <w:vAlign w:val="bottom"/>
            <w:gridSpan w:val="6"/>
          </w:tcPr>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2.  Advisory Vote on the Compensation of the Company’s Named Executive Officers</w:t>
            </w:r>
          </w:p>
        </w:tc>
        <w:tc>
          <w:tcPr>
            <w:tcW w:w="2720" w:type="dxa"/>
            <w:vAlign w:val="bottom"/>
          </w:tcPr>
          <w:p>
            <w:pPr>
              <w:spacing w:after="0"/>
              <w:rPr>
                <w:sz w:val="22"/>
                <w:szCs w:val="22"/>
                <w:color w:val="auto"/>
              </w:rPr>
            </w:pPr>
          </w:p>
        </w:tc>
      </w:tr>
      <w:tr>
        <w:trPr>
          <w:trHeight w:val="368"/>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6"/>
              </w:rPr>
              <w:t>Votes 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Votes Abstained</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54"/>
        </w:trPr>
        <w:tc>
          <w:tcPr>
            <w:tcW w:w="2700" w:type="dxa"/>
            <w:vAlign w:val="bottom"/>
            <w:tcBorders>
              <w:top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20"/>
                <w:szCs w:val="20"/>
                <w:color w:val="auto"/>
              </w:rPr>
              <w:t>76,277,173</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20"/>
                <w:szCs w:val="20"/>
                <w:color w:val="auto"/>
              </w:rPr>
              <w:t>3,432,891</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20"/>
                <w:szCs w:val="20"/>
                <w:color w:val="auto"/>
              </w:rPr>
              <w:t>138,276</w:t>
            </w:r>
          </w:p>
        </w:tc>
        <w:tc>
          <w:tcPr>
            <w:tcW w:w="10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20"/>
                <w:szCs w:val="20"/>
                <w:color w:val="auto"/>
              </w:rPr>
              <w:t>12,165,826</w:t>
            </w:r>
          </w:p>
        </w:tc>
      </w:tr>
    </w:tbl>
    <w:p>
      <w:pPr>
        <w:spacing w:after="0" w:line="315" w:lineRule="exact"/>
        <w:rPr>
          <w:sz w:val="20"/>
          <w:szCs w:val="20"/>
          <w:color w:val="auto"/>
        </w:rPr>
      </w:pPr>
    </w:p>
    <w:p>
      <w:pPr>
        <w:jc w:val="both"/>
        <w:ind w:right="20" w:firstLine="445"/>
        <w:spacing w:after="0" w:line="255" w:lineRule="auto"/>
        <w:rPr>
          <w:sz w:val="20"/>
          <w:szCs w:val="20"/>
          <w:color w:val="auto"/>
        </w:rPr>
      </w:pPr>
      <w:r>
        <w:rPr>
          <w:rFonts w:ascii="Times New Roman" w:cs="Times New Roman" w:eastAsia="Times New Roman" w:hAnsi="Times New Roman"/>
          <w:sz w:val="20"/>
          <w:szCs w:val="20"/>
          <w:color w:val="auto"/>
        </w:rPr>
        <w:t>Based on the votes set forth above, the advisory vote on the compensation of the Company’s named executive officers as set forth in the Company’s proxy statement was approved.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8480" w:type="dxa"/>
            <w:vAlign w:val="bottom"/>
            <w:gridSpan w:val="6"/>
          </w:tcPr>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3.  Ratification of Appointment of Independent Registered Public Accounting Firm</w:t>
            </w:r>
          </w:p>
        </w:tc>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68"/>
        </w:trPr>
        <w:tc>
          <w:tcPr>
            <w:tcW w:w="20" w:type="dxa"/>
            <w:vAlign w:val="bottom"/>
          </w:tcPr>
          <w:p>
            <w:pPr>
              <w:spacing w:after="0"/>
              <w:rPr>
                <w:sz w:val="24"/>
                <w:szCs w:val="24"/>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5"/>
              </w:rPr>
              <w:t>Votes 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Votes 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Votes Abstained</w:t>
            </w:r>
          </w:p>
        </w:tc>
        <w:tc>
          <w:tcPr>
            <w:tcW w:w="27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54"/>
        </w:trPr>
        <w:tc>
          <w:tcPr>
            <w:tcW w:w="20" w:type="dxa"/>
            <w:vAlign w:val="bottom"/>
          </w:tcPr>
          <w:p>
            <w:pPr>
              <w:spacing w:after="0"/>
              <w:rPr>
                <w:sz w:val="22"/>
                <w:szCs w:val="22"/>
                <w:color w:val="auto"/>
              </w:rPr>
            </w:pPr>
          </w:p>
        </w:tc>
        <w:tc>
          <w:tcPr>
            <w:tcW w:w="272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20"/>
                <w:szCs w:val="20"/>
                <w:color w:val="auto"/>
              </w:rPr>
              <w:t>91,696,689</w:t>
            </w:r>
          </w:p>
        </w:tc>
        <w:tc>
          <w:tcPr>
            <w:tcW w:w="10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20"/>
                <w:szCs w:val="20"/>
                <w:color w:val="auto"/>
              </w:rPr>
              <w:t>288,782</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20"/>
                <w:szCs w:val="20"/>
                <w:color w:val="auto"/>
              </w:rPr>
              <w:t>28,695</w:t>
            </w:r>
          </w:p>
        </w:tc>
        <w:tc>
          <w:tcPr>
            <w:tcW w:w="10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20" w:type="dxa"/>
            <w:vAlign w:val="bottom"/>
          </w:tcPr>
          <w:p>
            <w:pPr>
              <w:spacing w:after="0"/>
              <w:rPr>
                <w:sz w:val="22"/>
                <w:szCs w:val="22"/>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 w:name="page3"/>
    <w:bookmarkEnd w:id="2"/>
    <w:p>
      <w:pPr>
        <w:ind w:right="640" w:firstLine="445"/>
        <w:spacing w:after="0" w:line="283" w:lineRule="auto"/>
        <w:rPr>
          <w:sz w:val="20"/>
          <w:szCs w:val="20"/>
          <w:color w:val="auto"/>
        </w:rPr>
      </w:pPr>
      <w:r>
        <w:rPr>
          <w:rFonts w:ascii="Times New Roman" w:cs="Times New Roman" w:eastAsia="Times New Roman" w:hAnsi="Times New Roman"/>
          <w:sz w:val="20"/>
          <w:szCs w:val="20"/>
          <w:color w:val="auto"/>
        </w:rPr>
        <w:t>Based on the votes set forth above, the ratification of the appointment of Deloitte &amp; Touche LLP as the Company’s independent registered public accounting firm for the year ending December 31, 2026 was approved.</w:t>
      </w:r>
    </w:p>
    <w:p>
      <w:pPr>
        <w:spacing w:after="0" w:line="169" w:lineRule="exact"/>
        <w:rPr>
          <w:sz w:val="20"/>
          <w:szCs w:val="20"/>
          <w:color w:val="auto"/>
        </w:rPr>
      </w:pPr>
    </w:p>
    <w:p>
      <w:pPr>
        <w:ind w:left="660" w:right="780" w:hanging="328"/>
        <w:spacing w:after="0" w:line="287" w:lineRule="auto"/>
        <w:tabs>
          <w:tab w:leader="none" w:pos="66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Management Proposal to Amend and Restate the Company’s Eighth Amended and Restated Certificate of Incorporation (Declassification)</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5"/>
              </w:rPr>
              <w:t>Votes 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Votes 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Votes Abstained</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54"/>
        </w:trPr>
        <w:tc>
          <w:tcPr>
            <w:tcW w:w="272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20"/>
                <w:szCs w:val="20"/>
                <w:color w:val="auto"/>
              </w:rPr>
              <w:t>79,600,856</w:t>
            </w:r>
          </w:p>
        </w:tc>
        <w:tc>
          <w:tcPr>
            <w:tcW w:w="10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20"/>
                <w:szCs w:val="20"/>
                <w:color w:val="auto"/>
              </w:rPr>
              <w:t>227,738</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20"/>
                <w:szCs w:val="20"/>
                <w:color w:val="auto"/>
              </w:rPr>
              <w:t>19,746</w:t>
            </w:r>
          </w:p>
        </w:tc>
        <w:tc>
          <w:tcPr>
            <w:tcW w:w="10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20"/>
                <w:szCs w:val="20"/>
                <w:color w:val="auto"/>
              </w:rPr>
              <w:t>12,165,826</w:t>
            </w:r>
          </w:p>
        </w:tc>
      </w:tr>
    </w:tbl>
    <w:p>
      <w:pPr>
        <w:spacing w:after="0" w:line="315" w:lineRule="exact"/>
        <w:rPr>
          <w:sz w:val="20"/>
          <w:szCs w:val="20"/>
          <w:color w:val="auto"/>
        </w:rPr>
      </w:pPr>
    </w:p>
    <w:p>
      <w:pPr>
        <w:ind w:right="220" w:firstLine="445"/>
        <w:spacing w:after="0" w:line="254" w:lineRule="auto"/>
        <w:rPr>
          <w:sz w:val="20"/>
          <w:szCs w:val="20"/>
          <w:color w:val="auto"/>
        </w:rPr>
      </w:pPr>
      <w:r>
        <w:rPr>
          <w:rFonts w:ascii="Times New Roman" w:cs="Times New Roman" w:eastAsia="Times New Roman" w:hAnsi="Times New Roman"/>
          <w:sz w:val="20"/>
          <w:szCs w:val="20"/>
          <w:color w:val="auto"/>
        </w:rPr>
        <w:t>Under the Company’s Eighth Amended and Restated Certificate of Incorporation, this proposal required the affirmative vote of the holders of at least two-thirds of all outstanding shares of the Company’s stock to pass. Based on the votes set forth above, the management proposal to amend and restate the Company’s Eighth Amended and Restated Certificate of Incorporation to phase in the declassification of the Company’s Board of Directors was approved.</w:t>
      </w:r>
    </w:p>
    <w:p>
      <w:pPr>
        <w:spacing w:after="0" w:line="210" w:lineRule="exact"/>
        <w:rPr>
          <w:sz w:val="20"/>
          <w:szCs w:val="20"/>
          <w:color w:val="auto"/>
        </w:rPr>
      </w:pPr>
    </w:p>
    <w:p>
      <w:pPr>
        <w:ind w:left="660" w:right="780" w:hanging="328"/>
        <w:spacing w:after="0" w:line="287" w:lineRule="auto"/>
        <w:tabs>
          <w:tab w:leader="none" w:pos="660"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Management Proposal to Amend and Restate the Company’s Eighth Amended and Restated Certificate of Incorporation (Supermajority Voting)</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5"/>
              </w:rPr>
              <w:t>Votes 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Votes 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Votes Abstained</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54"/>
        </w:trPr>
        <w:tc>
          <w:tcPr>
            <w:tcW w:w="272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20"/>
                <w:szCs w:val="20"/>
                <w:color w:val="auto"/>
              </w:rPr>
              <w:t>79,546,469</w:t>
            </w:r>
          </w:p>
        </w:tc>
        <w:tc>
          <w:tcPr>
            <w:tcW w:w="10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20"/>
                <w:szCs w:val="20"/>
                <w:color w:val="auto"/>
              </w:rPr>
              <w:t>285,084</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20"/>
                <w:szCs w:val="20"/>
                <w:color w:val="auto"/>
              </w:rPr>
              <w:t>16,787</w:t>
            </w:r>
          </w:p>
        </w:tc>
        <w:tc>
          <w:tcPr>
            <w:tcW w:w="10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20"/>
                <w:szCs w:val="20"/>
                <w:color w:val="auto"/>
              </w:rPr>
              <w:t>12,165,826</w:t>
            </w:r>
          </w:p>
        </w:tc>
      </w:tr>
    </w:tbl>
    <w:p>
      <w:pPr>
        <w:spacing w:after="0" w:line="315"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20"/>
          <w:szCs w:val="20"/>
          <w:color w:val="auto"/>
        </w:rPr>
        <w:t>Under the Company’s Eighth Amended and Restated Certificate of Incorporation, this proposal required the affirmative vote of the holders of at least two-thirds of all outstanding shares of the Company’s stock to pass. Based on the votes set forth above, the management proposal to amend and restate the Company’s Eighth Amended and Restated Certificate of Incorporation to remove the supermajority voting requirements to amend the Company’s governing documents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SIGNATURE(S)</w:t>
      </w:r>
    </w:p>
    <w:p>
      <w:pPr>
        <w:spacing w:after="0" w:line="259"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330"/>
        </w:trPr>
        <w:tc>
          <w:tcPr>
            <w:tcW w:w="3940" w:type="dxa"/>
            <w:vAlign w:val="bottom"/>
          </w:tcPr>
          <w:p>
            <w:pPr>
              <w:spacing w:after="0"/>
              <w:rPr>
                <w:sz w:val="24"/>
                <w:szCs w:val="24"/>
                <w:color w:val="auto"/>
              </w:rPr>
            </w:pPr>
          </w:p>
        </w:tc>
        <w:tc>
          <w:tcPr>
            <w:tcW w:w="7080" w:type="dxa"/>
            <w:vAlign w:val="bottom"/>
            <w:gridSpan w:val="2"/>
          </w:tcPr>
          <w:p>
            <w:pPr>
              <w:ind w:left="2220"/>
              <w:spacing w:after="0"/>
              <w:rPr>
                <w:sz w:val="20"/>
                <w:szCs w:val="20"/>
                <w:color w:val="auto"/>
              </w:rPr>
            </w:pPr>
            <w:r>
              <w:rPr>
                <w:rFonts w:ascii="Times New Roman" w:cs="Times New Roman" w:eastAsia="Times New Roman" w:hAnsi="Times New Roman"/>
                <w:sz w:val="25"/>
                <w:szCs w:val="25"/>
                <w:b w:val="1"/>
                <w:bCs w:val="1"/>
                <w:color w:val="auto"/>
              </w:rPr>
              <w:t>LendingClub Corporation</w:t>
            </w:r>
          </w:p>
        </w:tc>
      </w:tr>
      <w:tr>
        <w:trPr>
          <w:trHeight w:val="262"/>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Date:   June 4, 2026</w:t>
            </w:r>
          </w:p>
        </w:tc>
        <w:tc>
          <w:tcPr>
            <w:tcW w:w="7080" w:type="dxa"/>
            <w:vAlign w:val="bottom"/>
            <w:gridSpan w:val="2"/>
          </w:tcPr>
          <w:p>
            <w:pPr>
              <w:ind w:left="2220"/>
              <w:spacing w:after="0"/>
              <w:rPr>
                <w:sz w:val="20"/>
                <w:szCs w:val="20"/>
                <w:color w:val="auto"/>
              </w:rPr>
            </w:pPr>
            <w:r>
              <w:rPr>
                <w:rFonts w:ascii="Times New Roman" w:cs="Times New Roman" w:eastAsia="Times New Roman" w:hAnsi="Times New Roman"/>
                <w:sz w:val="20"/>
                <w:szCs w:val="20"/>
                <w:color w:val="auto"/>
              </w:rPr>
              <w:t>By:  /s/ JORDAN CHENG</w:t>
            </w:r>
          </w:p>
        </w:tc>
      </w:tr>
      <w:tr>
        <w:trPr>
          <w:trHeight w:val="244"/>
        </w:trPr>
        <w:tc>
          <w:tcPr>
            <w:tcW w:w="39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Jordan Cheng</w:t>
            </w:r>
          </w:p>
        </w:tc>
      </w:tr>
      <w:tr>
        <w:trPr>
          <w:trHeight w:val="257"/>
        </w:trPr>
        <w:tc>
          <w:tcPr>
            <w:tcW w:w="39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General Counsel and Corporate Secretary</w:t>
            </w:r>
          </w:p>
        </w:tc>
      </w:tr>
      <w:tr>
        <w:trPr>
          <w:trHeight w:val="258"/>
        </w:trPr>
        <w:tc>
          <w:tcPr>
            <w:tcW w:w="39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(duly authorized officer)</w:t>
            </w:r>
          </w:p>
        </w:tc>
      </w:tr>
    </w:tbl>
    <w:p>
      <w:pPr>
        <w:spacing w:after="0" w:line="1" w:lineRule="exact"/>
        <w:rPr>
          <w:sz w:val="20"/>
          <w:szCs w:val="20"/>
          <w:color w:val="auto"/>
        </w:rPr>
      </w:pPr>
    </w:p>
    <w:sectPr>
      <w:pgSz w:w="11900" w:h="16838" w:orient="portrait"/>
      <w:cols w:equalWidth="0" w:num="1">
        <w:col w:w="11140"/>
      </w:cols>
      <w:pgMar w:left="320" w:top="8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2026-06-04T15:34:54Z</dcterms:created>
  <dcterms:modified xsi:type="dcterms:W3CDTF">2026-06-04T15:34:54Z</dcterms:modified>
</cp:coreProperties>
</file>