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Sanborn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HAPPEN,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KEARNY ST.,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Happen,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3"/>
        <w:gridCol w:w="783"/>
        <w:gridCol w:w="606"/>
        <w:gridCol w:w="342"/>
        <w:gridCol w:w="913"/>
        <w:gridCol w:w="429"/>
        <w:gridCol w:w="984"/>
        <w:gridCol w:w="1255"/>
        <w:gridCol w:w="972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28,750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20.5632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1,478,563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(the "Plan") to diversify the assets of the Reporting Person. As disclosed in, and as of the filing date of, the Issuer's Form 10-Q for the period ending March 31, 2026 the maximum number of shares that can be sold under the Plan, inclusive of the reported transaction, represents 9.4% of the Reporting Person's equity interest in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during the date at prices ranging from $20.25 to $21.04.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Bhavit Sheth,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97362" TargetMode="External"/><Relationship Id="rId5" Type="http://schemas.openxmlformats.org/officeDocument/2006/relationships/hyperlink" Target="http://www.sec.gov/cgi-bin/browse-edgar?action=getcompany&amp;CIK=00014099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696</Words>
  <Characters>3739</Characters>
  <CharactersWithSpaces>4366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