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Sanborn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LENDINGCLUB CORPORATION 88 KEARNY ST.,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LendingClub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94108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1,589,813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 (the "Plan") to diversify the assets of the Reporting Person. As disclosed in, and as of the filing date of, the Issuer's Form 10-Q for the period ending March 31, 2026 the maximum number of shares that can be sold under the Plan, inclusive of the reported transaction, represents 9.4% of the Reporting Person's equity interest in the Issuer.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Bhavit Sheth,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7362" TargetMode="External"/><Relationship Id="rId14" Type="http://schemas.openxmlformats.org/officeDocument/2006/relationships/hyperlink" Target="http://www.sec.gov/cgi-bin/browse-edgar?action=getcompany&amp;CIK=00014099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2026-06-11T17:15:53Z</dcterms:created>
  <dcterms:modified xsi:type="dcterms:W3CDTF">2026-06-11T17:15:53Z</dcterms:modified>
</cp:coreProperties>
</file>