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8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0" w:lineRule="exact"/>
        <w:rPr>
          <w:sz w:val="24"/>
          <w:szCs w:val="24"/>
          <w:color w:val="auto"/>
        </w:rPr>
      </w:pPr>
    </w:p>
    <w:p>
      <w:pPr>
        <w:spacing w:after="0" w:line="238"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40"/>
          <w:szCs w:val="40"/>
          <w:b w:val="1"/>
          <w:bCs w:val="1"/>
          <w:color w:val="auto"/>
        </w:rPr>
        <w:t>FORM 8-A</w:t>
      </w:r>
    </w:p>
    <w:p>
      <w:pPr>
        <w:spacing w:after="0" w:line="143"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FOR REGISTRATION OF CERTAIN CLASSES OF SECURITIES</w:t>
      </w:r>
    </w:p>
    <w:p>
      <w:pPr>
        <w:spacing w:after="0" w:line="44"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PURSUANT TO SECTION 12(b) OR (g) OF THE</w:t>
      </w:r>
    </w:p>
    <w:p>
      <w:pPr>
        <w:spacing w:after="0" w:line="5"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34" w:lineRule="exact"/>
        <w:rPr>
          <w:sz w:val="24"/>
          <w:szCs w:val="24"/>
          <w:color w:val="auto"/>
        </w:rPr>
      </w:pPr>
    </w:p>
    <w:p>
      <w:pPr>
        <w:jc w:val="center"/>
        <w:ind w:left="740"/>
        <w:spacing w:after="0"/>
        <w:rPr>
          <w:sz w:val="20"/>
          <w:szCs w:val="20"/>
          <w:color w:val="auto"/>
        </w:rPr>
      </w:pPr>
      <w:r>
        <w:rPr>
          <w:rFonts w:ascii="Times New Roman" w:cs="Times New Roman" w:eastAsia="Times New Roman" w:hAnsi="Times New Roman"/>
          <w:sz w:val="43"/>
          <w:szCs w:val="43"/>
          <w:b w:val="1"/>
          <w:bCs w:val="1"/>
          <w:color w:val="auto"/>
        </w:rPr>
        <w:t>LendingClub Corporation</w:t>
      </w:r>
    </w:p>
    <w:p>
      <w:pPr>
        <w:spacing w:after="0" w:line="56" w:lineRule="exact"/>
        <w:rPr>
          <w:sz w:val="24"/>
          <w:szCs w:val="24"/>
          <w:color w:val="auto"/>
        </w:rPr>
      </w:pPr>
    </w:p>
    <w:p>
      <w:pPr>
        <w:jc w:val="center"/>
        <w:ind w:left="74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84" w:lineRule="exact"/>
        <w:rPr>
          <w:sz w:val="24"/>
          <w:szCs w:val="24"/>
          <w:color w:val="auto"/>
        </w:rPr>
      </w:pPr>
    </w:p>
    <w:p>
      <w:pPr>
        <w:ind w:left="2420"/>
        <w:spacing w:after="0"/>
        <w:tabs>
          <w:tab w:leader="none" w:pos="7920" w:val="left"/>
        </w:tabs>
        <w:rPr>
          <w:sz w:val="20"/>
          <w:szCs w:val="20"/>
          <w:color w:val="auto"/>
        </w:rPr>
      </w:pPr>
      <w:r>
        <w:rPr>
          <w:rFonts w:ascii="Times New Roman" w:cs="Times New Roman" w:eastAsia="Times New Roman" w:hAnsi="Times New Roman"/>
          <w:sz w:val="20"/>
          <w:szCs w:val="20"/>
          <w:b w:val="1"/>
          <w:bCs w:val="1"/>
          <w:color w:val="auto"/>
        </w:rPr>
        <w:t>Delaware</w:t>
      </w:r>
      <w:r>
        <w:rPr>
          <w:sz w:val="20"/>
          <w:szCs w:val="20"/>
          <w:color w:val="auto"/>
        </w:rPr>
        <w:tab/>
      </w:r>
      <w:r>
        <w:rPr>
          <w:rFonts w:ascii="Times New Roman" w:cs="Times New Roman" w:eastAsia="Times New Roman" w:hAnsi="Times New Roman"/>
          <w:sz w:val="20"/>
          <w:szCs w:val="20"/>
          <w:b w:val="1"/>
          <w:bCs w:val="1"/>
          <w:color w:val="auto"/>
        </w:rPr>
        <w:t>51-0605731</w:t>
      </w:r>
    </w:p>
    <w:p>
      <w:pPr>
        <w:spacing w:after="0" w:line="12" w:lineRule="exact"/>
        <w:rPr>
          <w:sz w:val="24"/>
          <w:szCs w:val="24"/>
          <w:color w:val="auto"/>
        </w:rPr>
      </w:pPr>
    </w:p>
    <w:p>
      <w:pPr>
        <w:ind w:left="1680"/>
        <w:spacing w:after="0"/>
        <w:tabs>
          <w:tab w:leader="none" w:pos="7720" w:val="left"/>
        </w:tabs>
        <w:rPr>
          <w:sz w:val="20"/>
          <w:szCs w:val="20"/>
          <w:color w:val="auto"/>
        </w:rPr>
      </w:pPr>
      <w:r>
        <w:rPr>
          <w:rFonts w:ascii="Times New Roman" w:cs="Times New Roman" w:eastAsia="Times New Roman" w:hAnsi="Times New Roman"/>
          <w:sz w:val="20"/>
          <w:szCs w:val="20"/>
          <w:color w:val="auto"/>
        </w:rPr>
        <w:t>(State or other jurisdiction of</w:t>
      </w:r>
      <w:r>
        <w:rPr>
          <w:sz w:val="20"/>
          <w:szCs w:val="20"/>
          <w:color w:val="auto"/>
        </w:rPr>
        <w:tab/>
      </w:r>
      <w:r>
        <w:rPr>
          <w:rFonts w:ascii="Times New Roman" w:cs="Times New Roman" w:eastAsia="Times New Roman" w:hAnsi="Times New Roman"/>
          <w:sz w:val="19"/>
          <w:szCs w:val="19"/>
          <w:color w:val="auto"/>
        </w:rPr>
        <w:t>(I.R.S. Employer</w:t>
      </w:r>
    </w:p>
    <w:p>
      <w:pPr>
        <w:ind w:left="1640"/>
        <w:spacing w:after="0"/>
        <w:tabs>
          <w:tab w:leader="none" w:pos="7660" w:val="left"/>
        </w:tabs>
        <w:rPr>
          <w:sz w:val="20"/>
          <w:szCs w:val="20"/>
          <w:color w:val="auto"/>
        </w:rPr>
      </w:pPr>
      <w:r>
        <w:rPr>
          <w:rFonts w:ascii="Times New Roman" w:cs="Times New Roman" w:eastAsia="Times New Roman" w:hAnsi="Times New Roman"/>
          <w:sz w:val="20"/>
          <w:szCs w:val="20"/>
          <w:color w:val="auto"/>
        </w:rPr>
        <w:t>incorporation or organization)</w:t>
      </w:r>
      <w:r>
        <w:rPr>
          <w:sz w:val="20"/>
          <w:szCs w:val="20"/>
          <w:color w:val="auto"/>
        </w:rPr>
        <w:tab/>
      </w:r>
      <w:r>
        <w:rPr>
          <w:rFonts w:ascii="Times New Roman" w:cs="Times New Roman" w:eastAsia="Times New Roman" w:hAnsi="Times New Roman"/>
          <w:sz w:val="19"/>
          <w:szCs w:val="19"/>
          <w:color w:val="auto"/>
        </w:rPr>
        <w:t>Identification No.)</w:t>
      </w:r>
    </w:p>
    <w:p>
      <w:pPr>
        <w:spacing w:after="0" w:line="311"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20"/>
          <w:szCs w:val="20"/>
          <w:b w:val="1"/>
          <w:bCs w:val="1"/>
          <w:color w:val="auto"/>
        </w:rPr>
        <w:t>88 Kearny Street, Suite 600,</w:t>
      </w:r>
    </w:p>
    <w:p>
      <w:pPr>
        <w:spacing w:after="0" w:line="6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20"/>
          <w:szCs w:val="20"/>
          <w:b w:val="1"/>
          <w:bCs w:val="1"/>
          <w:color w:val="auto"/>
        </w:rPr>
        <w:t>San Francisco, CA 94108</w:t>
      </w:r>
    </w:p>
    <w:p>
      <w:pPr>
        <w:spacing w:after="0" w:line="71"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20"/>
          <w:szCs w:val="20"/>
          <w:color w:val="auto"/>
        </w:rPr>
        <w:t>(Address of principal executive offices and zip code)</w:t>
      </w:r>
    </w:p>
    <w:p>
      <w:pPr>
        <w:spacing w:after="0" w:line="200" w:lineRule="exact"/>
        <w:rPr>
          <w:sz w:val="24"/>
          <w:szCs w:val="24"/>
          <w:color w:val="auto"/>
        </w:rPr>
      </w:pPr>
    </w:p>
    <w:p>
      <w:pPr>
        <w:spacing w:after="0" w:line="309"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20" w:lineRule="exact"/>
        <w:rPr>
          <w:sz w:val="24"/>
          <w:szCs w:val="24"/>
          <w:color w:val="auto"/>
        </w:rPr>
      </w:pPr>
    </w:p>
    <w:tbl>
      <w:tblPr>
        <w:tblLayout w:type="fixed"/>
        <w:tblInd w:w="64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Title of each class to be registered</w:t>
            </w:r>
          </w:p>
        </w:tc>
        <w:tc>
          <w:tcPr>
            <w:tcW w:w="1040" w:type="dxa"/>
            <w:vAlign w:val="bottom"/>
          </w:tcPr>
          <w:p>
            <w:pPr>
              <w:spacing w:after="0"/>
              <w:rPr>
                <w:sz w:val="19"/>
                <w:szCs w:val="19"/>
                <w:color w:val="auto"/>
              </w:rPr>
            </w:pPr>
          </w:p>
        </w:tc>
        <w:tc>
          <w:tcPr>
            <w:tcW w:w="5700" w:type="dxa"/>
            <w:vAlign w:val="bottom"/>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8"/>
              </w:rPr>
              <w:t>Name of each exchange on which each class is to be registered</w:t>
            </w:r>
          </w:p>
        </w:tc>
      </w:tr>
      <w:tr>
        <w:trPr>
          <w:trHeight w:val="20"/>
        </w:trPr>
        <w:tc>
          <w:tcPr>
            <w:tcW w:w="30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r>
      <w:tr>
        <w:trPr>
          <w:trHeight w:val="283"/>
        </w:trPr>
        <w:tc>
          <w:tcPr>
            <w:tcW w:w="4040" w:type="dxa"/>
            <w:vAlign w:val="bottom"/>
            <w:gridSpan w:val="3"/>
          </w:tcPr>
          <w:p>
            <w:pPr>
              <w:jc w:val="center"/>
              <w:ind w:right="740"/>
              <w:spacing w:after="0"/>
              <w:rPr>
                <w:sz w:val="20"/>
                <w:szCs w:val="20"/>
                <w:color w:val="auto"/>
              </w:rPr>
            </w:pPr>
            <w:r>
              <w:rPr>
                <w:rFonts w:ascii="Times New Roman" w:cs="Times New Roman" w:eastAsia="Times New Roman" w:hAnsi="Times New Roman"/>
                <w:sz w:val="20"/>
                <w:szCs w:val="20"/>
                <w:color w:val="auto"/>
                <w:w w:val="98"/>
              </w:rPr>
              <w:t>Common stock, par value $0.01 per share</w:t>
            </w:r>
          </w:p>
        </w:tc>
        <w:tc>
          <w:tcPr>
            <w:tcW w:w="74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The Nasdaq Stock Market LLC</w:t>
            </w:r>
          </w:p>
        </w:tc>
      </w:tr>
    </w:tbl>
    <w:p>
      <w:pPr>
        <w:spacing w:after="0" w:line="200" w:lineRule="exact"/>
        <w:rPr>
          <w:sz w:val="24"/>
          <w:szCs w:val="24"/>
          <w:color w:val="auto"/>
        </w:rPr>
      </w:pPr>
    </w:p>
    <w:p>
      <w:pPr>
        <w:spacing w:after="0" w:line="365" w:lineRule="exact"/>
        <w:rPr>
          <w:sz w:val="24"/>
          <w:szCs w:val="24"/>
          <w:color w:val="auto"/>
        </w:rPr>
      </w:pPr>
    </w:p>
    <w:p>
      <w:pPr>
        <w:ind w:left="20"/>
        <w:spacing w:after="0" w:line="233" w:lineRule="auto"/>
        <w:rPr>
          <w:sz w:val="20"/>
          <w:szCs w:val="20"/>
          <w:color w:val="auto"/>
        </w:rPr>
      </w:pPr>
      <w:r>
        <w:rPr>
          <w:rFonts w:ascii="Times New Roman" w:cs="Times New Roman" w:eastAsia="Times New Roman" w:hAnsi="Times New Roman"/>
          <w:sz w:val="20"/>
          <w:szCs w:val="20"/>
          <w:color w:val="auto"/>
        </w:rPr>
        <w:t>If this form relates to the registration of a class of securities pursuant to Section 12(b) of the Exchange Act and is effective pursuant to General Instruction A.(c) or (e), check the following box.</w:t>
      </w:r>
    </w:p>
    <w:p>
      <w:pPr>
        <w:spacing w:after="0" w:line="161" w:lineRule="exact"/>
        <w:rPr>
          <w:sz w:val="24"/>
          <w:szCs w:val="24"/>
          <w:color w:val="auto"/>
        </w:rPr>
      </w:pPr>
    </w:p>
    <w:p>
      <w:pPr>
        <w:ind w:left="20"/>
        <w:spacing w:after="0" w:line="233" w:lineRule="auto"/>
        <w:rPr>
          <w:sz w:val="20"/>
          <w:szCs w:val="20"/>
          <w:color w:val="auto"/>
        </w:rPr>
      </w:pPr>
      <w:r>
        <w:rPr>
          <w:rFonts w:ascii="Times New Roman" w:cs="Times New Roman" w:eastAsia="Times New Roman" w:hAnsi="Times New Roman"/>
          <w:sz w:val="20"/>
          <w:szCs w:val="20"/>
          <w:color w:val="auto"/>
        </w:rPr>
        <w:t>If this form relates to the registration of a class of securities pursuant to Section 12(g) of the Exchange Act and is effective pursuant to General Instruction A.(d) or (e), check the following box.</w:t>
      </w:r>
    </w:p>
    <w:p>
      <w:pPr>
        <w:spacing w:after="0" w:line="16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If this form relates to the registration of a class of securities concurrently with a Regulation A offering, check the following box.</w:t>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Act registration statement or Regulation A offering statement file number to which this form relates:</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 (if applicable).</w:t>
      </w:r>
    </w:p>
    <w:p>
      <w:pPr>
        <w:spacing w:after="0" w:line="200" w:lineRule="exact"/>
        <w:rPr>
          <w:sz w:val="24"/>
          <w:szCs w:val="24"/>
          <w:color w:val="auto"/>
        </w:rPr>
      </w:pPr>
    </w:p>
    <w:p>
      <w:pPr>
        <w:spacing w:after="0" w:line="268"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Securities to be registered pursuant to Section 12(g) of the Act:</w:t>
      </w:r>
    </w:p>
    <w:p>
      <w:pPr>
        <w:spacing w:after="0" w:line="5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22860</wp:posOffset>
            </wp:positionV>
            <wp:extent cx="26142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4"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20"/>
          <w:szCs w:val="20"/>
          <w:color w:val="auto"/>
        </w:rPr>
        <w:t>(Title of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18"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323"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ectPr>
          <w:pgSz w:w="11900" w:h="16838" w:orient="portrait"/>
          <w:cols w:equalWidth="0" w:num="2">
            <w:col w:w="10440" w:space="560"/>
            <w:col w:w="200"/>
          </w:cols>
          <w:pgMar w:left="320" w:top="1213" w:right="37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LendingClub Corporation (the “Company”) is filing this registration statement on Form 8-A in connection with the transfer of the listing of its common stock, par value $0.01 per share (“Common Stock”), from the New York Stock Exchange (the “NYSE”) to The Nasdaq Stock Market LLC (“Nasdaq”). The Company expects the listing and trading of the Common Stock on the NYSE to cease at the close of trading on June 18, 2026, and the listing and trading of the Common Stock on Nasdaq to begin at market open on June 22, 2026. The Company’s name will change from LendingClub Corporation to Happen, Inc., effective June 22, 2026 at 12:01 AM Eastern Time.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Description of Registrant’s Securities to be Registered.</w:t>
      </w:r>
    </w:p>
    <w:p>
      <w:pPr>
        <w:spacing w:after="0" w:line="260" w:lineRule="exact"/>
        <w:rPr>
          <w:sz w:val="20"/>
          <w:szCs w:val="20"/>
          <w:color w:val="auto"/>
        </w:rPr>
      </w:pPr>
    </w:p>
    <w:p>
      <w:pPr>
        <w:ind w:right="200"/>
        <w:spacing w:after="0" w:line="253" w:lineRule="auto"/>
        <w:rPr>
          <w:rFonts w:ascii="Times New Roman" w:cs="Times New Roman" w:eastAsia="Times New Roman" w:hAnsi="Times New Roman"/>
          <w:sz w:val="20"/>
          <w:szCs w:val="20"/>
          <w:color w:val="0000FF"/>
        </w:rPr>
      </w:pPr>
      <w:hyperlink r:id="rId9">
        <w:r>
          <w:rPr>
            <w:rFonts w:ascii="Times New Roman" w:cs="Times New Roman" w:eastAsia="Times New Roman" w:hAnsi="Times New Roman"/>
            <w:sz w:val="20"/>
            <w:szCs w:val="20"/>
            <w:color w:val="auto"/>
          </w:rPr>
          <w:t xml:space="preserve">The description of the Common Stock included in </w:t>
        </w:r>
        <w:r>
          <w:rPr>
            <w:rFonts w:ascii="Times New Roman" w:cs="Times New Roman" w:eastAsia="Times New Roman" w:hAnsi="Times New Roman"/>
            <w:sz w:val="20"/>
            <w:szCs w:val="20"/>
            <w:u w:val="single" w:color="auto"/>
            <w:color w:val="0000FF"/>
          </w:rPr>
          <w:t>Exhibit 4.2 to the Company’s Annual Report on Form 10-K for the fiscal year ended</w:t>
        </w:r>
      </w:hyperlink>
      <w:r>
        <w:rPr>
          <w:rFonts w:ascii="Times New Roman" w:cs="Times New Roman" w:eastAsia="Times New Roman" w:hAnsi="Times New Roman"/>
          <w:sz w:val="20"/>
          <w:szCs w:val="20"/>
          <w:color w:val="auto"/>
        </w:rPr>
        <w:t xml:space="preserve"> </w:t>
      </w:r>
      <w:hyperlink r:id="rId9">
        <w:r>
          <w:rPr>
            <w:rFonts w:ascii="Times New Roman" w:cs="Times New Roman" w:eastAsia="Times New Roman" w:hAnsi="Times New Roman"/>
            <w:sz w:val="20"/>
            <w:szCs w:val="20"/>
            <w:u w:val="single" w:color="auto"/>
            <w:color w:val="0000FF"/>
          </w:rPr>
          <w:t>December 31, 2024</w:t>
        </w:r>
        <w:r>
          <w:rPr>
            <w:rFonts w:ascii="Times New Roman" w:cs="Times New Roman" w:eastAsia="Times New Roman" w:hAnsi="Times New Roman"/>
            <w:sz w:val="20"/>
            <w:szCs w:val="20"/>
            <w:color w:val="000000"/>
          </w:rPr>
          <w:t xml:space="preserve">, filed with the Securities and Exchange Commission on February 13, 2025, is incorporated herein by reference, </w:t>
        </w:r>
      </w:hyperlink>
      <w:r>
        <w:rPr>
          <w:rFonts w:ascii="Times New Roman" w:cs="Times New Roman" w:eastAsia="Times New Roman" w:hAnsi="Times New Roman"/>
          <w:sz w:val="20"/>
          <w:szCs w:val="20"/>
          <w:color w:val="0000FF"/>
        </w:rPr>
        <w:t xml:space="preserve">except </w:t>
      </w:r>
      <w:r>
        <w:rPr>
          <w:rFonts w:ascii="Times New Roman" w:cs="Times New Roman" w:eastAsia="Times New Roman" w:hAnsi="Times New Roman"/>
          <w:sz w:val="20"/>
          <w:szCs w:val="20"/>
          <w:color w:val="000000"/>
        </w:rPr>
        <w:t>that any reference to “the New York Stock Exchange” is hereby amended to refer to “The Nasdaq Stock Market LLC”, reference to “LendingClub Corporation” is hereby amended to refer to “Happen, Inc.” and reference to the symbol “LC” is hereby amended to refer to “HAPN”.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Exhibits.</w:t>
      </w:r>
    </w:p>
    <w:p>
      <w:pPr>
        <w:spacing w:after="0" w:line="24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20"/>
          <w:szCs w:val="20"/>
          <w:color w:val="auto"/>
        </w:rPr>
        <w:t>In accordance with the “Instructions as to Exhibits” with respect to Form 8-A, no exhibits are required to be filed as part of this registration statement because no other securities of the Company are registered on Nasdaq and the securities registered hereby are not being registered pursuant to Section 12(g) of the Securities Exchange Act of 1934, as amended.</w:t>
      </w:r>
    </w:p>
    <w:p>
      <w:pPr>
        <w:sectPr>
          <w:pgSz w:w="11900" w:h="16838" w:orient="portrait"/>
          <w:cols w:equalWidth="0" w:num="1">
            <w:col w:w="11180"/>
          </w:cols>
          <w:pgMar w:left="320" w:top="122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5"/>
          <w:szCs w:val="25"/>
          <w:b w:val="1"/>
          <w:bCs w:val="1"/>
          <w:color w:val="auto"/>
        </w:rPr>
        <w:t>SIGNATURE(S)</w:t>
      </w:r>
    </w:p>
    <w:p>
      <w:pPr>
        <w:spacing w:after="0" w:line="259"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330"/>
        </w:trPr>
        <w:tc>
          <w:tcPr>
            <w:tcW w:w="4080" w:type="dxa"/>
            <w:vAlign w:val="bottom"/>
          </w:tcPr>
          <w:p>
            <w:pPr>
              <w:spacing w:after="0"/>
              <w:rPr>
                <w:sz w:val="24"/>
                <w:szCs w:val="24"/>
                <w:color w:val="auto"/>
              </w:rPr>
            </w:pPr>
          </w:p>
        </w:tc>
        <w:tc>
          <w:tcPr>
            <w:tcW w:w="7140" w:type="dxa"/>
            <w:vAlign w:val="bottom"/>
            <w:gridSpan w:val="2"/>
          </w:tcPr>
          <w:p>
            <w:pPr>
              <w:ind w:left="2280"/>
              <w:spacing w:after="0"/>
              <w:rPr>
                <w:sz w:val="20"/>
                <w:szCs w:val="20"/>
                <w:color w:val="auto"/>
              </w:rPr>
            </w:pPr>
            <w:r>
              <w:rPr>
                <w:rFonts w:ascii="Times New Roman" w:cs="Times New Roman" w:eastAsia="Times New Roman" w:hAnsi="Times New Roman"/>
                <w:sz w:val="25"/>
                <w:szCs w:val="25"/>
                <w:b w:val="1"/>
                <w:bCs w:val="1"/>
                <w:color w:val="auto"/>
              </w:rPr>
              <w:t>LendingClub Corporation</w:t>
            </w:r>
          </w:p>
        </w:tc>
      </w:tr>
      <w:tr>
        <w:trPr>
          <w:trHeight w:val="262"/>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Date:   June 18, 2026</w:t>
            </w:r>
          </w:p>
        </w:tc>
        <w:tc>
          <w:tcPr>
            <w:tcW w:w="714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By:   /s/ ANDREW LABENNE</w:t>
            </w:r>
          </w:p>
        </w:tc>
      </w:tr>
      <w:tr>
        <w:trPr>
          <w:trHeight w:val="244"/>
        </w:trPr>
        <w:tc>
          <w:tcPr>
            <w:tcW w:w="40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Andrew LaBenne</w:t>
            </w:r>
          </w:p>
        </w:tc>
      </w:tr>
      <w:tr>
        <w:trPr>
          <w:trHeight w:val="257"/>
        </w:trPr>
        <w:tc>
          <w:tcPr>
            <w:tcW w:w="40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58"/>
        </w:trPr>
        <w:tc>
          <w:tcPr>
            <w:tcW w:w="40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(duly authorized officer)</w:t>
            </w:r>
          </w:p>
        </w:tc>
      </w:tr>
    </w:tbl>
    <w:p>
      <w:pPr>
        <w:spacing w:after="0" w:line="1" w:lineRule="exact"/>
        <w:rPr>
          <w:sz w:val="20"/>
          <w:szCs w:val="20"/>
          <w:color w:val="auto"/>
        </w:rPr>
      </w:pPr>
    </w:p>
    <w:sectPr>
      <w:pgSz w:w="11900" w:h="16838" w:orient="portrait"/>
      <w:cols w:equalWidth="0" w:num="1">
        <w:col w:w="11240"/>
      </w:cols>
      <w:pgMar w:left="320" w:top="8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hyperlink" Target="https://www.sec.gov/Archives/edgar/data/1409970/000140997025000009/lc12312024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2026-06-18T15:30:39Z</dcterms:created>
  <dcterms:modified xsi:type="dcterms:W3CDTF">2026-06-18T15:30:39Z</dcterms:modified>
</cp:coreProperties>
</file>