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Sanborn Scott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HAPPEN,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88 KEARNY ST., SUITE 600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FRANCISCO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94108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Happen,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HAPN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17"/>
        <w:gridCol w:w="900"/>
        <w:gridCol w:w="771"/>
        <w:gridCol w:w="598"/>
        <w:gridCol w:w="342"/>
        <w:gridCol w:w="914"/>
        <w:gridCol w:w="438"/>
        <w:gridCol w:w="878"/>
        <w:gridCol w:w="1257"/>
        <w:gridCol w:w="977"/>
        <w:gridCol w:w="91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1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3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5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1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5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1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28,750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20.078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2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1,507,313</w:t>
            </w:r>
          </w:p>
        </w:tc>
        <w:tc>
          <w:tcPr>
            <w:tcW w:w="9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was effected pursuant to a Rule 10b5-1 trading plan (the "Plan") to diversify the assets of the Reporting Person. As disclosed in, and as of the filing date of, the Issuer's Form 10-Q for the period ending March 31, 2026 the maximum number of shares that can be sold under the Plan, inclusive of the reported transaction, represents 9.4% of the Reporting Person's equity interest in the Issuer.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transaction was executed in multiple trades during the date at prices ranging from $19.76 to $20.27. The weighted-average price is reported above. The Reporting Person hereby undertakes to provide upon request to the SEC staff, the Issuer or a security holder of the Issuer full information regarding the number of shares and prices at which the transactions were effected.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Bhavit Sheth,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397362" TargetMode="External"/><Relationship Id="rId5" Type="http://schemas.openxmlformats.org/officeDocument/2006/relationships/hyperlink" Target="http://www.sec.gov/cgi-bin/browse-edgar?action=getcompany&amp;CIK=000140997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693</Words>
  <Characters>3718</Characters>
  <CharactersWithSpaces>4350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