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240" w:after="283"/>
              <w:jc w:val="right"/>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36"/>
              </w:rPr>
            </w:pPr>
            <w:r>
              <w:rPr>
                <w:rFonts w:ascii="Times New Roman;serif" w:hAnsi="Times New Roman;serif"/>
                <w:b/>
                <w:color w:val="000000"/>
                <w:sz w:val="36"/>
              </w:rPr>
              <w:t>8-K</w:t>
            </w:r>
          </w:p>
        </w:tc>
      </w:tr>
    </w:tbl>
    <w:tbl>
      <w:tblPr>
        <w:tblW w:w="4049" w:type="dxa"/>
        <w:jc w:val="center"/>
        <w:tblInd w:w="0" w:type="dxa"/>
        <w:tblLayout w:type="fixed"/>
        <w:tblCellMar>
          <w:top w:w="28" w:type="dxa"/>
          <w:left w:w="28" w:type="dxa"/>
          <w:bottom w:w="28" w:type="dxa"/>
          <w:right w:w="28" w:type="dxa"/>
        </w:tblCellMar>
      </w:tblPr>
      <w:tblGrid>
        <w:gridCol w:w="1296"/>
        <w:gridCol w:w="1140"/>
        <w:gridCol w:w="1613"/>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 REPORT</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Pursuant to Section 13 or 15(d)</w:t>
              <w:br/>
              <w:t>of the Securities Exchange Act of 1934</w:t>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22, 2026</w:t>
      </w:r>
    </w:p>
    <w:tbl>
      <w:tblPr>
        <w:tblW w:w="3779" w:type="dxa"/>
        <w:jc w:val="center"/>
        <w:tblInd w:w="0" w:type="dxa"/>
        <w:tblLayout w:type="fixed"/>
        <w:tblCellMar>
          <w:top w:w="28" w:type="dxa"/>
          <w:left w:w="28" w:type="dxa"/>
          <w:bottom w:w="28" w:type="dxa"/>
          <w:right w:w="28" w:type="dxa"/>
        </w:tblCellMar>
      </w:tblPr>
      <w:tblGrid>
        <w:gridCol w:w="1210"/>
        <w:gridCol w:w="1064"/>
        <w:gridCol w:w="1505"/>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Happen, Inc.</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p>
      <w:pPr>
        <w:pStyle w:val="TextBody"/>
        <w:bidi w:val="0"/>
        <w:spacing w:lineRule="auto" w:line="288" w:before="60" w:after="283"/>
        <w:jc w:val="center"/>
        <w:rPr>
          <w:color w:val="000000"/>
        </w:rPr>
      </w:pPr>
      <w:r>
        <w:rPr>
          <w:color w:val="000000"/>
        </w:rPr>
        <w:t> </w:t>
      </w:r>
    </w:p>
    <w:p>
      <w:pPr>
        <w:pStyle w:val="TextBody"/>
        <w:bidi w:val="0"/>
        <w:spacing w:lineRule="auto" w:line="288" w:before="60" w:after="283"/>
        <w:jc w:val="center"/>
        <w:rPr/>
      </w:pPr>
      <w:r>
        <w:rPr>
          <w:rFonts w:ascii="Times New Roman;serif" w:hAnsi="Times New Roman;serif"/>
          <w:b/>
          <w:color w:val="000000"/>
          <w:sz w:val="22"/>
        </w:rPr>
        <w:t>Commission File Number: 001-36771</w:t>
      </w:r>
      <w:r>
        <w:rPr>
          <w:color w:val="000000"/>
        </w:rPr>
        <w:t xml:space="preserve"> </w:t>
      </w:r>
    </w:p>
    <w:tbl>
      <w:tblPr>
        <w:tblW w:w="3689" w:type="dxa"/>
        <w:jc w:val="center"/>
        <w:tblInd w:w="0" w:type="dxa"/>
        <w:tblLayout w:type="fixed"/>
        <w:tblCellMar>
          <w:top w:w="28" w:type="dxa"/>
          <w:left w:w="28" w:type="dxa"/>
          <w:bottom w:w="28" w:type="dxa"/>
          <w:right w:w="28" w:type="dxa"/>
        </w:tblCellMar>
      </w:tblPr>
      <w:tblGrid>
        <w:gridCol w:w="807"/>
        <w:gridCol w:w="708"/>
        <w:gridCol w:w="719"/>
        <w:gridCol w:w="425"/>
        <w:gridCol w:w="425"/>
        <w:gridCol w:w="605"/>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51-0605731</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tbl>
      <w:tblPr>
        <w:tblW w:w="3893" w:type="dxa"/>
        <w:jc w:val="center"/>
        <w:tblInd w:w="0" w:type="dxa"/>
        <w:tblLayout w:type="fixed"/>
        <w:tblCellMar>
          <w:top w:w="28" w:type="dxa"/>
          <w:left w:w="28" w:type="dxa"/>
          <w:bottom w:w="28" w:type="dxa"/>
          <w:right w:w="28" w:type="dxa"/>
        </w:tblCellMar>
      </w:tblPr>
      <w:tblGrid>
        <w:gridCol w:w="140"/>
        <w:gridCol w:w="123"/>
        <w:gridCol w:w="123"/>
        <w:gridCol w:w="308"/>
        <w:gridCol w:w="308"/>
        <w:gridCol w:w="308"/>
        <w:gridCol w:w="308"/>
        <w:gridCol w:w="308"/>
        <w:gridCol w:w="310"/>
        <w:gridCol w:w="175"/>
        <w:gridCol w:w="175"/>
        <w:gridCol w:w="175"/>
        <w:gridCol w:w="237"/>
        <w:gridCol w:w="237"/>
        <w:gridCol w:w="238"/>
        <w:gridCol w:w="123"/>
        <w:gridCol w:w="123"/>
        <w:gridCol w:w="174"/>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6"/>
            <w:tcBorders/>
            <w:tcMar>
              <w:top w:w="0" w:type="dxa"/>
              <w:left w:w="0" w:type="dxa"/>
              <w:bottom w:w="0" w:type="dxa"/>
              <w:right w:w="0" w:type="dxa"/>
            </w:tcMar>
            <w:vAlign w:val="center"/>
          </w:tcPr>
          <w:p>
            <w:pPr>
              <w:pStyle w:val="TableContents"/>
              <w:bidi w:val="0"/>
              <w:spacing w:lineRule="auto" w:line="240" w:before="60" w:after="60"/>
              <w:jc w:val="right"/>
              <w:rPr>
                <w:rFonts w:ascii="Times New Roman;serif" w:hAnsi="Times New Roman;serif"/>
                <w:b/>
                <w:color w:val="000000"/>
                <w:sz w:val="20"/>
              </w:rPr>
            </w:pPr>
            <w:r>
              <w:rPr>
                <w:rFonts w:ascii="Times New Roman;serif" w:hAnsi="Times New Roman;serif"/>
                <w:b/>
                <w:color w:val="000000"/>
                <w:sz w:val="20"/>
              </w:rPr>
              <w:t xml:space="preserve">88 Kearny Street, </w:t>
            </w:r>
          </w:p>
        </w:tc>
        <w:tc>
          <w:tcPr>
            <w:tcW w:w="1237" w:type="dxa"/>
            <w:gridSpan w:val="6"/>
            <w:tcBorders/>
            <w:tcMar>
              <w:top w:w="0" w:type="dxa"/>
              <w:left w:w="0" w:type="dxa"/>
              <w:bottom w:w="0" w:type="dxa"/>
              <w:right w:w="0" w:type="dxa"/>
            </w:tcMar>
            <w:vAlign w:val="center"/>
          </w:tcPr>
          <w:p>
            <w:pPr>
              <w:pStyle w:val="TableContents"/>
              <w:bidi w:val="0"/>
              <w:spacing w:lineRule="auto" w:line="240" w:before="60" w:after="60"/>
              <w:jc w:val="left"/>
              <w:rPr>
                <w:rFonts w:ascii="Times New Roman;serif" w:hAnsi="Times New Roman;serif"/>
                <w:b/>
                <w:color w:val="000000"/>
                <w:sz w:val="20"/>
              </w:rPr>
            </w:pPr>
            <w:r>
              <w:rPr>
                <w:rFonts w:ascii="Times New Roman;serif" w:hAnsi="Times New Roman;serif"/>
                <w:b/>
                <w:color w:val="000000"/>
                <w:sz w:val="20"/>
              </w:rPr>
              <w:t>Suite 600,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Francisco,</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94108</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tc>
      </w:tr>
    </w:tbl>
    <w:p>
      <w:pPr>
        <w:pStyle w:val="TextBody"/>
        <w:bidi w:val="0"/>
        <w:spacing w:lineRule="auto" w:line="288" w:before="120" w:after="283"/>
        <w:jc w:val="center"/>
        <w:rPr/>
      </w:pPr>
      <w:r>
        <w:rPr>
          <w:rFonts w:ascii="Times New Roman;serif" w:hAnsi="Times New Roman;serif"/>
          <w:b w:val="false"/>
          <w:color w:val="000000"/>
          <w:sz w:val="18"/>
        </w:rPr>
        <w:t>Registrant’s telephone number, including area code: 415</w:t>
      </w:r>
      <w:r>
        <w:rPr>
          <w:color w:val="000000"/>
        </w:rPr>
        <w:t> </w:t>
      </w:r>
      <w:r>
        <w:rPr>
          <w:rFonts w:ascii="Times New Roman;serif" w:hAnsi="Times New Roman;serif"/>
          <w:b w:val="false"/>
          <w:color w:val="000000"/>
          <w:sz w:val="18"/>
        </w:rPr>
        <w:t>930-7440</w:t>
      </w:r>
      <w:r>
        <w:rPr>
          <w:color w:val="000000"/>
        </w:rPr>
        <w:t xml:space="preserve"> </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LendingClub Corporation</w:t>
      </w:r>
    </w:p>
    <w:p>
      <w:pPr>
        <w:pStyle w:val="TextBody"/>
        <w:bidi w:val="0"/>
        <w:spacing w:before="0" w:after="0"/>
        <w:jc w:val="center"/>
        <w:rPr/>
      </w:pPr>
      <w:r>
        <w:rPr/>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05"/>
        <w:gridCol w:w="287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594" w:type="dxa"/>
        <w:jc w:val="center"/>
        <w:tblInd w:w="0" w:type="dxa"/>
        <w:tblLayout w:type="fixed"/>
        <w:tblCellMar>
          <w:top w:w="28" w:type="dxa"/>
          <w:left w:w="28" w:type="dxa"/>
          <w:bottom w:w="28" w:type="dxa"/>
          <w:right w:w="28" w:type="dxa"/>
        </w:tblCellMar>
      </w:tblPr>
      <w:tblGrid>
        <w:gridCol w:w="1255"/>
        <w:gridCol w:w="1098"/>
        <w:gridCol w:w="1112"/>
        <w:gridCol w:w="474"/>
        <w:gridCol w:w="474"/>
        <w:gridCol w:w="476"/>
        <w:gridCol w:w="1085"/>
        <w:gridCol w:w="1085"/>
        <w:gridCol w:w="1535"/>
      </w:tblGrid>
      <w:tr>
        <w:trPr/>
        <w:tc>
          <w:tcPr>
            <w:tcW w:w="125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HAPN</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6"/>
        <w:gridCol w:w="3107"/>
        <w:gridCol w:w="3118"/>
        <w:gridCol w:w="109"/>
        <w:gridCol w:w="109"/>
        <w:gridCol w:w="156"/>
      </w:tblGrid>
      <w:tr>
        <w:trPr/>
        <w:tc>
          <w:tcPr>
            <w:tcW w:w="360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2"/>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654" w:type="dxa"/>
        <w:jc w:val="left"/>
        <w:tblInd w:w="0" w:type="dxa"/>
        <w:tblLayout w:type="fixed"/>
        <w:tblCellMar>
          <w:top w:w="28" w:type="dxa"/>
          <w:left w:w="28" w:type="dxa"/>
          <w:bottom w:w="28" w:type="dxa"/>
          <w:right w:w="28" w:type="dxa"/>
        </w:tblCellMar>
      </w:tblPr>
      <w:tblGrid>
        <w:gridCol w:w="381"/>
        <w:gridCol w:w="333"/>
        <w:gridCol w:w="336"/>
        <w:gridCol w:w="2225"/>
        <w:gridCol w:w="2225"/>
        <w:gridCol w:w="315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5.03</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Amendments to Articles of Incorporation or Bylaws; Change in Fiscal Year.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Effective as of June 22, 2026 (the “Effective Date”), Happen, Inc. (formerly known as LendingClub Corporation) (the “Company”) filed a Certificate of Amendment to the Company’s Eighth Amended and Restated Certificate of Incorporation (the “Certificate of Amendment”) with the Secretary of State of the State of Delaware changing the name of the corporation from “LendingClub Corporation” to “Happen, Inc.” (the “Name Change”). The Company also amended and restated its bylaws (as amended and restated, the “Second Amended and Restated Bylaws”) to reflect the Name Change, effective as of the Effective Date. Pursuant to Delaware law, a stockholder vote was not necessary to effectuate the Name Change and the Name Change does not affect the rights of the Company’s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foregoing descriptions of the Certificate of Amendment and the Second Amended and Restated Bylaws are qualified in their entirety by reference to the complete texts of the Certificate of Amendment and the Second Amended and Restated Bylaws, each of which is filed as Exhibits 3.1 and 3.2, respectively, to this Current Report on Form 8-K and are incorporated herein by reference.</w:t>
      </w:r>
    </w:p>
    <w:p>
      <w:pPr>
        <w:pStyle w:val="TextBody"/>
        <w:bidi w:val="0"/>
        <w:spacing w:before="0" w:after="0"/>
        <w:jc w:val="left"/>
        <w:rPr/>
      </w:pPr>
      <w:r>
        <w:rPr/>
      </w:r>
    </w:p>
    <w:tbl>
      <w:tblPr>
        <w:tblW w:w="4031" w:type="dxa"/>
        <w:jc w:val="left"/>
        <w:tblInd w:w="0" w:type="dxa"/>
        <w:tblLayout w:type="fixed"/>
        <w:tblCellMar>
          <w:top w:w="28" w:type="dxa"/>
          <w:left w:w="28" w:type="dxa"/>
          <w:bottom w:w="28" w:type="dxa"/>
          <w:right w:w="28" w:type="dxa"/>
        </w:tblCellMar>
      </w:tblPr>
      <w:tblGrid>
        <w:gridCol w:w="381"/>
        <w:gridCol w:w="333"/>
        <w:gridCol w:w="336"/>
        <w:gridCol w:w="109"/>
        <w:gridCol w:w="109"/>
        <w:gridCol w:w="109"/>
        <w:gridCol w:w="777"/>
        <w:gridCol w:w="777"/>
        <w:gridCol w:w="1100"/>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Item 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Regulation FD Disclosure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June 22, 2026, the Company issued a press release (the “Press Release”) in connection with the Name Change and the Listing Change (as defined below). A copy of the Press Release is attached as Exhibit 99.1 to this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furnished under Item 7.01 of this Current Report on Form 8-K, including Exhibit 99.1 attached hereto shall not be deemed to be “filed” for the purposes of Section 18 of the Securities Exchange Act of 1934, as amended (the “Exchange Act”), or otherwise subject to the liabilities of that section, nor shall it be deemed to be incorporated by reference in any registration statement or other document filed under the Securities Act of 1933, as amended, or the Exchange Act, except as otherwise stated in such filing.</w:t>
      </w:r>
    </w:p>
    <w:p>
      <w:pPr>
        <w:pStyle w:val="TextBody"/>
        <w:bidi w:val="0"/>
        <w:spacing w:before="0" w:after="0"/>
        <w:jc w:val="left"/>
        <w:rPr/>
      </w:pPr>
      <w:r>
        <w:rPr/>
      </w:r>
    </w:p>
    <w:tbl>
      <w:tblPr>
        <w:tblW w:w="2832" w:type="dxa"/>
        <w:jc w:val="left"/>
        <w:tblInd w:w="0" w:type="dxa"/>
        <w:tblLayout w:type="fixed"/>
        <w:tblCellMar>
          <w:top w:w="28" w:type="dxa"/>
          <w:left w:w="28" w:type="dxa"/>
          <w:bottom w:w="28" w:type="dxa"/>
          <w:right w:w="28" w:type="dxa"/>
        </w:tblCellMar>
      </w:tblPr>
      <w:tblGrid>
        <w:gridCol w:w="381"/>
        <w:gridCol w:w="333"/>
        <w:gridCol w:w="336"/>
        <w:gridCol w:w="109"/>
        <w:gridCol w:w="109"/>
        <w:gridCol w:w="109"/>
        <w:gridCol w:w="425"/>
        <w:gridCol w:w="425"/>
        <w:gridCol w:w="60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Item 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Other Events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Name Change, the Company transferred the listing of its common stock, par value $0.01 per share (the “Common Stock”), from the New York Stock Exchange to the Nasdaq Global Select Market and changed the trading symbol for the Common Stock from “LC” to “HAPN”, effective as of market open on the Effective Date (the “Listing Change”). The Common Stock’s CUSIP number remains unchanged.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connection with the Name Change and effective as of the Effective Date, the Company’s wholly-owned banking subsidiary also changed its name from “LendingClub Bank, National Association” to “Happen Bank, National Association”.</w:t>
      </w:r>
    </w:p>
    <w:tbl>
      <w:tblPr>
        <w:tblW w:w="4827" w:type="dxa"/>
        <w:jc w:val="left"/>
        <w:tblInd w:w="0" w:type="dxa"/>
        <w:tblLayout w:type="fixed"/>
        <w:tblCellMar>
          <w:top w:w="28" w:type="dxa"/>
          <w:left w:w="28" w:type="dxa"/>
          <w:bottom w:w="28" w:type="dxa"/>
          <w:right w:w="28" w:type="dxa"/>
        </w:tblCellMar>
      </w:tblPr>
      <w:tblGrid>
        <w:gridCol w:w="381"/>
        <w:gridCol w:w="333"/>
        <w:gridCol w:w="336"/>
        <w:gridCol w:w="109"/>
        <w:gridCol w:w="109"/>
        <w:gridCol w:w="109"/>
        <w:gridCol w:w="1010"/>
        <w:gridCol w:w="1010"/>
        <w:gridCol w:w="1430"/>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Exhibits</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32"/>
        <w:gridCol w:w="291"/>
        <w:gridCol w:w="293"/>
        <w:gridCol w:w="109"/>
        <w:gridCol w:w="109"/>
        <w:gridCol w:w="109"/>
        <w:gridCol w:w="2620"/>
        <w:gridCol w:w="2620"/>
        <w:gridCol w:w="372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Title or Description</w:t>
            </w:r>
          </w:p>
        </w:tc>
      </w:tr>
      <w:tr>
        <w:trPr/>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hyperlink w:anchor="exhibit31charter.htm">
              <w:r>
                <w:rPr>
                  <w:rStyle w:val="InternetLink"/>
                  <w:rFonts w:ascii="Times New Roman;serif" w:hAnsi="Times New Roman;serif"/>
                  <w:b w:val="false"/>
                  <w:color w:val="0000FF"/>
                  <w:sz w:val="22"/>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exhibit31charter.htm">
              <w:r>
                <w:rPr>
                  <w:rStyle w:val="InternetLink"/>
                  <w:rFonts w:ascii="Times New Roman;serif" w:hAnsi="Times New Roman;serif"/>
                  <w:b w:val="false"/>
                  <w:color w:val="0000FF"/>
                  <w:sz w:val="22"/>
                  <w:u w:val="single"/>
                </w:rPr>
                <w:t>Certificate of Amendment of Eighth Amended and Restated Certificate of Incorporation</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exhibit32bylaws.htm">
              <w:r>
                <w:rPr>
                  <w:rStyle w:val="InternetLink"/>
                  <w:rFonts w:ascii="Times New Roman;serif" w:hAnsi="Times New Roman;serif"/>
                  <w:b w:val="false"/>
                  <w:color w:val="0000FF"/>
                  <w:sz w:val="22"/>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exhibit32bylaws.htm">
              <w:r>
                <w:rPr>
                  <w:rStyle w:val="InternetLink"/>
                  <w:rFonts w:ascii="Times New Roman;serif" w:hAnsi="Times New Roman;serif"/>
                  <w:b w:val="false"/>
                  <w:color w:val="0000FF"/>
                  <w:sz w:val="22"/>
                  <w:u w:val="single"/>
                </w:rPr>
                <w:t>Second Amended and Restated Bylaws of the Company</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pressrelease.htm">
              <w:r>
                <w:rPr>
                  <w:rStyle w:val="InternetLink"/>
                  <w:rFonts w:ascii="Times New Roman;serif" w:hAnsi="Times New Roman;serif"/>
                  <w:b w:val="false"/>
                  <w:color w:val="0000FF"/>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htm">
              <w:r>
                <w:rPr>
                  <w:rStyle w:val="InternetLink"/>
                  <w:rFonts w:ascii="Times New Roman;serif" w:hAnsi="Times New Roman;serif"/>
                  <w:b w:val="false"/>
                  <w:color w:val="0000FF"/>
                  <w:sz w:val="22"/>
                  <w:u w:val="single"/>
                </w:rPr>
                <w:t>Press Release dated June 22, 2026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(Cover page XBRL tags are embedded within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450" w:type="dxa"/>
        <w:jc w:val="center"/>
        <w:tblInd w:w="0" w:type="dxa"/>
        <w:tblLayout w:type="fixed"/>
        <w:tblCellMar>
          <w:top w:w="28" w:type="dxa"/>
          <w:left w:w="28" w:type="dxa"/>
          <w:bottom w:w="28" w:type="dxa"/>
          <w:right w:w="28" w:type="dxa"/>
        </w:tblCellMar>
      </w:tblPr>
      <w:tblGrid>
        <w:gridCol w:w="244"/>
        <w:gridCol w:w="215"/>
        <w:gridCol w:w="216"/>
        <w:gridCol w:w="479"/>
        <w:gridCol w:w="479"/>
        <w:gridCol w:w="482"/>
        <w:gridCol w:w="272"/>
        <w:gridCol w:w="272"/>
        <w:gridCol w:w="272"/>
        <w:gridCol w:w="732"/>
        <w:gridCol w:w="732"/>
        <w:gridCol w:w="1055"/>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Happen,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June 22, 2026</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ANDREW LABENNE</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Andrew LaBenne</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(duly authorized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CERTIFICATE OF AMENDMENT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EIGHTH AMENDED AND RESTATED CERTIFICATE OF INCORPORATION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LENDINGCLUB CORPORATION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LendingClub Corporation (the “Corporation”), a corporation organized and existing under and by virtue of the General Corporation Law of the State of Delaware, does hereby certify: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FIRST: That the Board of Directors of the Corporation has duly adopted resolutions authorizing and approving an amendment to the Eighth Amended and Restated Certificate of Incorporation of the Corporation to amend and restate ARTICLE I of the Eighth Amended and Restated Certificate of Incorporation of the Corporation to change the name of the Corporation to “Happen, Inc.”</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SECOND: That the amendment to the Eighth Amended and Restated Certificate of Incorporation of the Corporation set forth in this Certificate of Amendment was duly adopted in accordance with the provisions of Section 242 of the General Corporation Law of the State of Delaware by the Board of Directors, without the necessity of a meeting or vote of stockholders of the Corporation pursuant to Section 242(d)(1) of the General Corporation Law of the State of Delaware.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THIRD: That ARTICLE I of the Eighth Amended and Restated Certificate of Incorporation of the Corporation is hereby amended and restated to read in its entirety as follows: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color w:val="000000"/>
          <w:sz w:val="22"/>
        </w:rPr>
        <w:t>The name of the corporation is Happen, Inc. (the “</w:t>
      </w:r>
      <w:r>
        <w:rPr>
          <w:rFonts w:ascii="Times New Roman;serif" w:hAnsi="Times New Roman;serif"/>
          <w:b/>
          <w:i/>
          <w:color w:val="000000"/>
          <w:sz w:val="22"/>
        </w:rPr>
        <w:t>Corporation</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FOURTH: All other provisions of the Eighth Amended and Restated Certificate of Incorporation of the Corporation shall remain in full force and effect.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FIFTH: This Certificate of Amendment shall be effective at 12:01 a.m. Eastern Time on June 22,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this Certificate of Amendment of Eighth Amended and Restated Certificate of Incorporation has been executed by a duly authorized officer of the Corporation on June 17, 2026.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LENDINGCLUB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 xml:space="preserve">/s/ Jordan Cheng </w:t>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Name: Jordan Cheng</w:t>
      </w:r>
    </w:p>
    <w:p>
      <w:pPr>
        <w:pStyle w:val="TextBody"/>
        <w:bidi w:val="0"/>
        <w:spacing w:lineRule="auto" w:line="26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Title: General Counsel and Corporate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HAPPEN, INC.,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 Delaware Corporation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SECOND AMENDED AND RESTATED BYLAWS </w:t>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color w:val="000000"/>
          <w:sz w:val="22"/>
        </w:rPr>
      </w:pPr>
      <w:r>
        <w:rPr>
          <w:rFonts w:ascii="Times New Roman;serif" w:hAnsi="Times New Roman;serif"/>
          <w:b w:val="false"/>
          <w:color w:val="000000"/>
          <w:sz w:val="22"/>
        </w:rPr>
        <w:t>As Adopted June 22, 2026</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HAPPEN, INC.,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a Delaware Corporation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SECOND AMENDED AND RESTATED BYLAWS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TABLE OF CONTENTS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I – STOCKHOLDERS</w:t>
      </w:r>
    </w:p>
    <w:tbl>
      <w:tblPr>
        <w:tblW w:w="7166" w:type="dxa"/>
        <w:jc w:val="left"/>
        <w:tblInd w:w="0" w:type="dxa"/>
        <w:tblLayout w:type="fixed"/>
        <w:tblCellMar>
          <w:top w:w="28" w:type="dxa"/>
          <w:left w:w="28" w:type="dxa"/>
          <w:bottom w:w="28" w:type="dxa"/>
          <w:right w:w="28" w:type="dxa"/>
        </w:tblCellMar>
      </w:tblPr>
      <w:tblGrid>
        <w:gridCol w:w="489"/>
        <w:gridCol w:w="429"/>
        <w:gridCol w:w="431"/>
        <w:gridCol w:w="1813"/>
        <w:gridCol w:w="1813"/>
        <w:gridCol w:w="1819"/>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Annual Meetings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Special Meetings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Meetings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1.4:</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Adjournments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1.5:</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Quorum</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1.6:</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1.7:</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Voting; Proxies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1.8:</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Fixing Date for Determination of Stockholders of Record</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1.9:</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List of Stockholders Entitled to Vote</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Inspectors of Elections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1.11:</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Stockholder Business; Nominations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4</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II – BOARD OF DIRECTORS</w:t>
      </w:r>
    </w:p>
    <w:tbl>
      <w:tblPr>
        <w:tblW w:w="5861" w:type="dxa"/>
        <w:jc w:val="left"/>
        <w:tblInd w:w="0" w:type="dxa"/>
        <w:tblLayout w:type="fixed"/>
        <w:tblCellMar>
          <w:top w:w="28" w:type="dxa"/>
          <w:left w:w="28" w:type="dxa"/>
          <w:bottom w:w="28" w:type="dxa"/>
          <w:right w:w="28" w:type="dxa"/>
        </w:tblCellMar>
      </w:tblPr>
      <w:tblGrid>
        <w:gridCol w:w="489"/>
        <w:gridCol w:w="429"/>
        <w:gridCol w:w="431"/>
        <w:gridCol w:w="1379"/>
        <w:gridCol w:w="1379"/>
        <w:gridCol w:w="1382"/>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Number; Qualifications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2.2:</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Election; Resignation; Removal; Vacancies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2.3:</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Regular Meetings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2.4:</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Special Meetings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2.5:</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Remote Meetings Permitted</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2.6:</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Quorum; Vote Required for Action</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2.7:</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Organization</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2.8:</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Written Action by Directors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2.9:</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Powers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2.10:</w:t>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 of Directors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III – COMMITTEES</w:t>
      </w:r>
    </w:p>
    <w:tbl>
      <w:tblPr>
        <w:tblW w:w="3311" w:type="dxa"/>
        <w:jc w:val="left"/>
        <w:tblInd w:w="0" w:type="dxa"/>
        <w:tblLayout w:type="fixed"/>
        <w:tblCellMar>
          <w:top w:w="28" w:type="dxa"/>
          <w:left w:w="28" w:type="dxa"/>
          <w:bottom w:w="28" w:type="dxa"/>
          <w:right w:w="28" w:type="dxa"/>
        </w:tblCellMar>
      </w:tblPr>
      <w:tblGrid>
        <w:gridCol w:w="446"/>
        <w:gridCol w:w="391"/>
        <w:gridCol w:w="393"/>
        <w:gridCol w:w="569"/>
        <w:gridCol w:w="569"/>
        <w:gridCol w:w="571"/>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3.1:</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Committees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3.2:</w:t>
            </w:r>
          </w:p>
        </w:tc>
        <w:tc>
          <w:tcPr>
            <w:tcW w:w="1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Committee Rules</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IV – OFFICERS</w:t>
      </w:r>
    </w:p>
    <w:tbl>
      <w:tblPr>
        <w:tblW w:w="4077" w:type="dxa"/>
        <w:jc w:val="left"/>
        <w:tblInd w:w="0" w:type="dxa"/>
        <w:tblLayout w:type="fixed"/>
        <w:tblCellMar>
          <w:top w:w="28" w:type="dxa"/>
          <w:left w:w="28" w:type="dxa"/>
          <w:bottom w:w="28" w:type="dxa"/>
          <w:right w:w="28" w:type="dxa"/>
        </w:tblCellMar>
      </w:tblPr>
      <w:tblGrid>
        <w:gridCol w:w="446"/>
        <w:gridCol w:w="391"/>
        <w:gridCol w:w="393"/>
        <w:gridCol w:w="822"/>
        <w:gridCol w:w="822"/>
        <w:gridCol w:w="831"/>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Generally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4.2:</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4.3:</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Chairperson of the Board</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4.4:</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4.5:</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4.6:</w:t>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60" w:type="dxa"/>
        <w:jc w:val="left"/>
        <w:tblInd w:w="0" w:type="dxa"/>
        <w:tblLayout w:type="fixed"/>
        <w:tblCellMar>
          <w:top w:w="28" w:type="dxa"/>
          <w:left w:w="28" w:type="dxa"/>
          <w:bottom w:w="28" w:type="dxa"/>
          <w:right w:w="28" w:type="dxa"/>
        </w:tblCellMar>
      </w:tblPr>
      <w:tblGrid>
        <w:gridCol w:w="489"/>
        <w:gridCol w:w="429"/>
        <w:gridCol w:w="431"/>
        <w:gridCol w:w="777"/>
        <w:gridCol w:w="777"/>
        <w:gridCol w:w="785"/>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4.7:</w:t>
            </w:r>
          </w:p>
        </w:tc>
        <w:tc>
          <w:tcPr>
            <w:tcW w:w="23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Treasurer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4.8:</w:t>
            </w:r>
          </w:p>
        </w:tc>
        <w:tc>
          <w:tcPr>
            <w:tcW w:w="23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Secretary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4.9:</w:t>
            </w:r>
          </w:p>
        </w:tc>
        <w:tc>
          <w:tcPr>
            <w:tcW w:w="23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Delegation of Authority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4.10:</w:t>
            </w:r>
          </w:p>
        </w:tc>
        <w:tc>
          <w:tcPr>
            <w:tcW w:w="23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Removal</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V – STOCK</w:t>
      </w:r>
    </w:p>
    <w:tbl>
      <w:tblPr>
        <w:tblW w:w="10205" w:type="dxa"/>
        <w:jc w:val="left"/>
        <w:tblInd w:w="0" w:type="dxa"/>
        <w:tblLayout w:type="fixed"/>
        <w:tblCellMar>
          <w:top w:w="28" w:type="dxa"/>
          <w:left w:w="28" w:type="dxa"/>
          <w:bottom w:w="28" w:type="dxa"/>
          <w:right w:w="28" w:type="dxa"/>
        </w:tblCellMar>
      </w:tblPr>
      <w:tblGrid>
        <w:gridCol w:w="433"/>
        <w:gridCol w:w="380"/>
        <w:gridCol w:w="381"/>
        <w:gridCol w:w="2871"/>
        <w:gridCol w:w="2871"/>
        <w:gridCol w:w="2895"/>
        <w:gridCol w:w="109"/>
        <w:gridCol w:w="109"/>
        <w:gridCol w:w="156"/>
      </w:tblGrid>
      <w:tr>
        <w:trPr/>
        <w:tc>
          <w:tcPr>
            <w:tcW w:w="4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5.1:</w:t>
            </w:r>
          </w:p>
        </w:tc>
        <w:tc>
          <w:tcPr>
            <w:tcW w:w="86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Certificates</w:t>
            </w:r>
          </w:p>
        </w:tc>
        <w:tc>
          <w:tcPr>
            <w:tcW w:w="37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1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5.2:</w:t>
            </w:r>
          </w:p>
        </w:tc>
        <w:tc>
          <w:tcPr>
            <w:tcW w:w="86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Lost, Stolen or Destroyed Stock Certificates; Issuance of New Certificates or Uncertificated Shares</w:t>
            </w:r>
          </w:p>
        </w:tc>
        <w:tc>
          <w:tcPr>
            <w:tcW w:w="37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1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5.3:</w:t>
            </w:r>
          </w:p>
        </w:tc>
        <w:tc>
          <w:tcPr>
            <w:tcW w:w="863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Other Regulations</w:t>
            </w:r>
          </w:p>
        </w:tc>
        <w:tc>
          <w:tcPr>
            <w:tcW w:w="37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VI – INDEMNIFICATION</w:t>
      </w:r>
    </w:p>
    <w:tbl>
      <w:tblPr>
        <w:tblW w:w="5595" w:type="dxa"/>
        <w:jc w:val="left"/>
        <w:tblInd w:w="0" w:type="dxa"/>
        <w:tblLayout w:type="fixed"/>
        <w:tblCellMar>
          <w:top w:w="28" w:type="dxa"/>
          <w:left w:w="28" w:type="dxa"/>
          <w:bottom w:w="28" w:type="dxa"/>
          <w:right w:w="28" w:type="dxa"/>
        </w:tblCellMar>
      </w:tblPr>
      <w:tblGrid>
        <w:gridCol w:w="446"/>
        <w:gridCol w:w="391"/>
        <w:gridCol w:w="393"/>
        <w:gridCol w:w="1324"/>
        <w:gridCol w:w="1324"/>
        <w:gridCol w:w="1326"/>
        <w:gridCol w:w="114"/>
        <w:gridCol w:w="114"/>
        <w:gridCol w:w="163"/>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6.1:</w:t>
            </w:r>
          </w:p>
        </w:tc>
        <w:tc>
          <w:tcPr>
            <w:tcW w:w="39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of Officers and Directors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6.2:</w:t>
            </w:r>
          </w:p>
        </w:tc>
        <w:tc>
          <w:tcPr>
            <w:tcW w:w="39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Advancement of Expenses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6.3:</w:t>
            </w:r>
          </w:p>
        </w:tc>
        <w:tc>
          <w:tcPr>
            <w:tcW w:w="39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Non-Exclusivity of Rights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6.4:</w:t>
            </w:r>
          </w:p>
        </w:tc>
        <w:tc>
          <w:tcPr>
            <w:tcW w:w="39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Indemnification Contracts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6.5:</w:t>
            </w:r>
          </w:p>
        </w:tc>
        <w:tc>
          <w:tcPr>
            <w:tcW w:w="39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Right of Indemnitee to Bring Suit</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6.6:</w:t>
            </w:r>
          </w:p>
        </w:tc>
        <w:tc>
          <w:tcPr>
            <w:tcW w:w="39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Nature of Rights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6.7:</w:t>
            </w:r>
          </w:p>
        </w:tc>
        <w:tc>
          <w:tcPr>
            <w:tcW w:w="39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Insurance</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VII – NOTICES</w:t>
      </w:r>
    </w:p>
    <w:tbl>
      <w:tblPr>
        <w:tblW w:w="3331" w:type="dxa"/>
        <w:jc w:val="left"/>
        <w:tblInd w:w="0" w:type="dxa"/>
        <w:tblLayout w:type="fixed"/>
        <w:tblCellMar>
          <w:top w:w="28" w:type="dxa"/>
          <w:left w:w="28" w:type="dxa"/>
          <w:bottom w:w="28" w:type="dxa"/>
          <w:right w:w="28" w:type="dxa"/>
        </w:tblCellMar>
      </w:tblPr>
      <w:tblGrid>
        <w:gridCol w:w="446"/>
        <w:gridCol w:w="391"/>
        <w:gridCol w:w="393"/>
        <w:gridCol w:w="567"/>
        <w:gridCol w:w="567"/>
        <w:gridCol w:w="576"/>
        <w:gridCol w:w="114"/>
        <w:gridCol w:w="114"/>
        <w:gridCol w:w="163"/>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w:t>
            </w:r>
          </w:p>
        </w:tc>
        <w:tc>
          <w:tcPr>
            <w:tcW w:w="17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Notice</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7.2:</w:t>
            </w:r>
          </w:p>
        </w:tc>
        <w:tc>
          <w:tcPr>
            <w:tcW w:w="17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Notice</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VIII – INTERESTED DIRECTORS</w:t>
      </w:r>
    </w:p>
    <w:tbl>
      <w:tblPr>
        <w:tblW w:w="3555" w:type="dxa"/>
        <w:jc w:val="left"/>
        <w:tblInd w:w="0" w:type="dxa"/>
        <w:tblLayout w:type="fixed"/>
        <w:tblCellMar>
          <w:top w:w="28" w:type="dxa"/>
          <w:left w:w="28" w:type="dxa"/>
          <w:bottom w:w="28" w:type="dxa"/>
          <w:right w:w="28" w:type="dxa"/>
        </w:tblCellMar>
      </w:tblPr>
      <w:tblGrid>
        <w:gridCol w:w="446"/>
        <w:gridCol w:w="391"/>
        <w:gridCol w:w="393"/>
        <w:gridCol w:w="644"/>
        <w:gridCol w:w="644"/>
        <w:gridCol w:w="646"/>
        <w:gridCol w:w="114"/>
        <w:gridCol w:w="114"/>
        <w:gridCol w:w="163"/>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8.1:</w:t>
            </w:r>
          </w:p>
        </w:tc>
        <w:tc>
          <w:tcPr>
            <w:tcW w:w="1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Interested Directors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8.2:</w:t>
            </w:r>
          </w:p>
        </w:tc>
        <w:tc>
          <w:tcPr>
            <w:tcW w:w="1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Quorum</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IX – MISCELLANEOUS</w:t>
      </w:r>
    </w:p>
    <w:tbl>
      <w:tblPr>
        <w:tblW w:w="5131" w:type="dxa"/>
        <w:jc w:val="left"/>
        <w:tblInd w:w="0" w:type="dxa"/>
        <w:tblLayout w:type="fixed"/>
        <w:tblCellMar>
          <w:top w:w="28" w:type="dxa"/>
          <w:left w:w="28" w:type="dxa"/>
          <w:bottom w:w="28" w:type="dxa"/>
          <w:right w:w="28" w:type="dxa"/>
        </w:tblCellMar>
      </w:tblPr>
      <w:tblGrid>
        <w:gridCol w:w="446"/>
        <w:gridCol w:w="391"/>
        <w:gridCol w:w="393"/>
        <w:gridCol w:w="1168"/>
        <w:gridCol w:w="1168"/>
        <w:gridCol w:w="1174"/>
        <w:gridCol w:w="114"/>
        <w:gridCol w:w="114"/>
        <w:gridCol w:w="163"/>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9.1:</w:t>
            </w:r>
          </w:p>
        </w:tc>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Fiscal Year</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9.2:</w:t>
            </w:r>
          </w:p>
        </w:tc>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Seal</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9.3:</w:t>
            </w:r>
          </w:p>
        </w:tc>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Form of Records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9.4:</w:t>
            </w:r>
          </w:p>
        </w:tc>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Reliance Upon Books and Records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9.5:</w:t>
            </w:r>
          </w:p>
        </w:tc>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 of Incorporation Governs</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9.6:</w:t>
            </w:r>
          </w:p>
        </w:tc>
        <w:tc>
          <w:tcPr>
            <w:tcW w:w="3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Article X – AMENDMENT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HAPPEN, INC.,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 Delaware Corporation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SECOND AMENDED AND RESTATED BYLAWS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June 22, 2026</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ARTICLE I: STOCKHOLDERS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1.1</w:t>
      </w:r>
      <w:r>
        <w:rPr>
          <w:rFonts w:ascii="Times New Roman;serif" w:hAnsi="Times New Roman;serif"/>
          <w:b/>
          <w:color w:val="000000"/>
          <w:sz w:val="20"/>
        </w:rPr>
        <w:t xml:space="preserve">: </w:t>
      </w:r>
      <w:r>
        <w:rPr>
          <w:rFonts w:ascii="Times New Roman;serif" w:hAnsi="Times New Roman;serif"/>
          <w:b/>
          <w:color w:val="000000"/>
          <w:sz w:val="20"/>
          <w:u w:val="single"/>
        </w:rPr>
        <w:t>Annual Meetings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An annual meeting of stockholders shall be held for the election of directors at such date and time as the Board of Directors of the Corporation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shall each year fix. The meeting may be held either at a place, within or without the State of Delaware as permitted by the Delaware General Corporation Law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xml:space="preserve">), or by means of remote communication as the Board in its sole discretion may determine. Any proper business may be transacted at the annual meeting.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1.2</w:t>
      </w:r>
      <w:r>
        <w:rPr>
          <w:rFonts w:ascii="Times New Roman;serif" w:hAnsi="Times New Roman;serif"/>
          <w:b/>
          <w:color w:val="000000"/>
          <w:sz w:val="20"/>
        </w:rPr>
        <w:t xml:space="preserve">: </w:t>
      </w:r>
      <w:r>
        <w:rPr>
          <w:rFonts w:ascii="Times New Roman;serif" w:hAnsi="Times New Roman;serif"/>
          <w:b/>
          <w:color w:val="000000"/>
          <w:sz w:val="20"/>
          <w:u w:val="single"/>
        </w:rPr>
        <w:t>Special Meetings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Special meetings of stockholders for any purpose or purposes may be called at any time by the Chairperson of the Board, the Chief Executive Officer, the President or the Board acting pursuant to a resolution adopted by a majority of the “</w:t>
      </w:r>
      <w:r>
        <w:rPr>
          <w:rFonts w:ascii="Times New Roman;serif" w:hAnsi="Times New Roman;serif"/>
          <w:b/>
          <w:i/>
          <w:color w:val="000000"/>
          <w:sz w:val="20"/>
        </w:rPr>
        <w:t>Whole Board</w:t>
      </w:r>
      <w:r>
        <w:rPr>
          <w:rFonts w:ascii="Times New Roman;serif" w:hAnsi="Times New Roman;serif"/>
          <w:b w:val="false"/>
          <w:color w:val="000000"/>
          <w:sz w:val="20"/>
        </w:rPr>
        <w:t xml:space="preserve">,” which shall mean the total number of authorized directors, whether or not there exist any vacancies in previously authorized directorships. Special meetings may not be called by any other person or persons. The special meeting may be held either at a place, within or without the State of Delaware, or by means of remote communication as the Board in its sole discretion may determine.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1.3</w:t>
      </w:r>
      <w:r>
        <w:rPr>
          <w:rFonts w:ascii="Times New Roman;serif" w:hAnsi="Times New Roman;serif"/>
          <w:b/>
          <w:color w:val="000000"/>
          <w:sz w:val="20"/>
        </w:rPr>
        <w:t xml:space="preserve">: </w:t>
      </w:r>
      <w:r>
        <w:rPr>
          <w:rFonts w:ascii="Times New Roman;serif" w:hAnsi="Times New Roman;serif"/>
          <w:b/>
          <w:color w:val="000000"/>
          <w:sz w:val="20"/>
          <w:u w:val="single"/>
        </w:rPr>
        <w:t>Notice of Meetings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Notice of all meetings of stockholders shall be given in writing or by electronic transmission in the manner provided by law (including, without limitation, as set forth in Section 7.1.1 of these Bylaws) stating the date, time and place, if any, of the meeting, the means of remote communications, if any, by which stockholders and proxyholders may be deemed to be present in person and vote at such meeting and, in the case of a special meeting, the purpose or purposes for which the meeting is called. Unless otherwise required by applicable law or the Certificate of Incorporation of the Corporation (the “</w:t>
      </w:r>
      <w:r>
        <w:rPr>
          <w:rFonts w:ascii="Times New Roman;serif" w:hAnsi="Times New Roman;serif"/>
          <w:b/>
          <w:i/>
          <w:color w:val="000000"/>
          <w:sz w:val="20"/>
        </w:rPr>
        <w:t>Certificate of Incorporation</w:t>
      </w:r>
      <w:r>
        <w:rPr>
          <w:color w:val="000000"/>
        </w:rPr>
        <w:t>”</w:t>
      </w:r>
      <w:r>
        <w:rPr>
          <w:rFonts w:ascii="Times New Roman;serif" w:hAnsi="Times New Roman;serif"/>
          <w:b w:val="false"/>
          <w:color w:val="000000"/>
          <w:sz w:val="20"/>
        </w:rPr>
        <w:t xml:space="preserve">), such notice shall be given not less than ten (10), nor more than sixty (60), days before the date of the meeting to each stockholder of record entitled to vote at such meeting.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1.4</w:t>
      </w:r>
      <w:r>
        <w:rPr>
          <w:rFonts w:ascii="Times New Roman;serif" w:hAnsi="Times New Roman;serif"/>
          <w:b/>
          <w:color w:val="000000"/>
          <w:sz w:val="20"/>
        </w:rPr>
        <w:t xml:space="preserve">: </w:t>
      </w:r>
      <w:r>
        <w:rPr>
          <w:rFonts w:ascii="Times New Roman;serif" w:hAnsi="Times New Roman;serif"/>
          <w:b/>
          <w:color w:val="000000"/>
          <w:sz w:val="20"/>
          <w:u w:val="single"/>
        </w:rPr>
        <w:t>Adjournments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chairperson of the meeting shall have the power to adjourn the meeting to another time, date and place (if any). Any meeting of stockholders may adjourn from time to time, and notice need not be given of any such adjourned meeting if the time, date and place (if any) thereof and the means of remote communications (if any) by which stockholders and proxy holders may be deemed to be present in person and vote at such adjourned meeting are announced at the meeting at which the adjournment is taken; </w:t>
      </w:r>
      <w:r>
        <w:rPr>
          <w:rFonts w:ascii="Times New Roman;serif" w:hAnsi="Times New Roman;serif"/>
          <w:b w:val="false"/>
          <w:i/>
          <w:color w:val="000000"/>
          <w:sz w:val="20"/>
          <w:u w:val="single"/>
        </w:rPr>
        <w:t>provided</w:t>
      </w:r>
      <w:r>
        <w:rPr>
          <w:rFonts w:ascii="Times New Roman;serif" w:hAnsi="Times New Roman;serif"/>
          <w:b w:val="false"/>
          <w:i/>
          <w:color w:val="000000"/>
          <w:sz w:val="20"/>
        </w:rPr>
        <w:t xml:space="preserve">, </w:t>
      </w:r>
      <w:r>
        <w:rPr>
          <w:rFonts w:ascii="Times New Roman;serif" w:hAnsi="Times New Roman;serif"/>
          <w:b w:val="false"/>
          <w:i/>
          <w:color w:val="000000"/>
          <w:sz w:val="20"/>
          <w:u w:val="single"/>
        </w:rPr>
        <w:t>however</w:t>
      </w:r>
      <w:r>
        <w:rPr>
          <w:rFonts w:ascii="Times New Roman;serif" w:hAnsi="Times New Roman;serif"/>
          <w:b w:val="false"/>
          <w:color w:val="000000"/>
          <w:sz w:val="20"/>
        </w:rPr>
        <w:t xml:space="preserve">, that if the adjournment is for more than thirty (30) 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 or annual meeting of stockholders before it is to be held, in which case notice shall be provided to the stockholders of the new date, time and place, if any, of the meeting as provided in Section 1.3 above.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1.5</w:t>
      </w:r>
      <w:r>
        <w:rPr>
          <w:rFonts w:ascii="Times New Roman;serif" w:hAnsi="Times New Roman;serif"/>
          <w:b/>
          <w:color w:val="000000"/>
          <w:sz w:val="20"/>
        </w:rPr>
        <w:t xml:space="preserve">: </w:t>
      </w:r>
      <w:r>
        <w:rPr>
          <w:rFonts w:ascii="Times New Roman;serif" w:hAnsi="Times New Roman;serif"/>
          <w:b/>
          <w:color w:val="000000"/>
          <w:sz w:val="20"/>
          <w:u w:val="single"/>
        </w:rPr>
        <w:t>Quorum</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At each meeting of stockholders the holders of a majority of the voting power of the shares of stock entitled to vote at the meeting, present in person or represented by proxy, shall constitute a quorum for the transaction of business, unless otherwise required by applicable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Times New Roman;serif" w:hAnsi="Times New Roman;serif"/>
          <w:b w:val="false"/>
          <w:i/>
          <w:color w:val="000000"/>
          <w:sz w:val="20"/>
          <w:u w:val="single"/>
        </w:rPr>
        <w:t>provided</w:t>
      </w:r>
      <w:r>
        <w:rPr>
          <w:rFonts w:ascii="Times New Roman;serif" w:hAnsi="Times New Roman;serif"/>
          <w:b w:val="false"/>
          <w:i/>
          <w:color w:val="000000"/>
          <w:sz w:val="20"/>
        </w:rPr>
        <w:t xml:space="preserve">, </w:t>
      </w:r>
      <w:r>
        <w:rPr>
          <w:rFonts w:ascii="Times New Roman;serif" w:hAnsi="Times New Roman;serif"/>
          <w:b w:val="false"/>
          <w:i/>
          <w:color w:val="000000"/>
          <w:sz w:val="20"/>
          <w:u w:val="single"/>
        </w:rPr>
        <w:t>however</w:t>
      </w:r>
      <w:r>
        <w:rPr>
          <w:rFonts w:ascii="Times New Roman;serif" w:hAnsi="Times New Roman;serif"/>
          <w:b w:val="false"/>
          <w:color w:val="000000"/>
          <w:sz w:val="20"/>
        </w:rPr>
        <w:t xml:space="preserve">, that the foregoing shall not limit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right of the Corporation or any other corporation to vote any shares of the Corporation’s stock held by it in a fiduciary capacity and to count such shares for purposes of determining a quorum.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1.6</w:t>
      </w:r>
      <w:r>
        <w:rPr>
          <w:rFonts w:ascii="Times New Roman;serif" w:hAnsi="Times New Roman;serif"/>
          <w:b/>
          <w:color w:val="000000"/>
          <w:sz w:val="20"/>
        </w:rPr>
        <w:t xml:space="preserve">: </w:t>
      </w:r>
      <w:r>
        <w:rPr>
          <w:rFonts w:ascii="Times New Roman;serif" w:hAnsi="Times New Roman;serif"/>
          <w:b/>
          <w:color w:val="000000"/>
          <w:sz w:val="20"/>
          <w:u w:val="single"/>
        </w:rPr>
        <w:t>Organization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Meetings of stockholders shall be presided over by such person as the Board may designate, or, in the absence of such a person, the 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 Such person shall be chairperson of the meeting and, subject to Section 1.10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1.7</w:t>
      </w:r>
      <w:r>
        <w:rPr>
          <w:rFonts w:ascii="Times New Roman;serif" w:hAnsi="Times New Roman;serif"/>
          <w:b/>
          <w:color w:val="000000"/>
          <w:sz w:val="20"/>
        </w:rPr>
        <w:t xml:space="preserve">: </w:t>
      </w:r>
      <w:r>
        <w:rPr>
          <w:rFonts w:ascii="Times New Roman;serif" w:hAnsi="Times New Roman;serif"/>
          <w:b/>
          <w:color w:val="000000"/>
          <w:sz w:val="20"/>
          <w:u w:val="single"/>
        </w:rPr>
        <w:t>Voting; Proxies</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Each stockholder entitled to vote at a meeting of stockholders may authorize another person or persons to act for such stockholder by proxy. Such a proxy may be prepared, transmitted and delivered in any manner permitted by applicable law. Except as may be required in the Amended and Restated Certificate of Incorporation, directors shall be elected: (i) by a plurality of the votes cast for such nominee's election in the event the election is contested, or (ii) if the votes cast for such nominee's election exceed the votes cast against such nominee's election in the event such election is not contested. An election shall be deemed to be contested if (i) the number of nominees (or purported nominees) for the board exceeds the number of open board seats (at the time specified in clause (iii) below), (ii) the secretary of the corporation has received one or more notices that a stockholder or stockholders intend to nominate a person or persons for election to the board of directors, which notice(s) purport to be in compliance with Section 1.11 of these bylaws, as applicable, and (iii) all such nominations have not been withdrawn by the proposing stockholder(s) on or prior to the tenth (10th) day preceding the date the corporation first mails its notice of meeting for such meeting to its stockholders (regardless of whether all such nominations are subsequently withdrawn and regardless of whether the board of directors determines that any such notice is not in compliance with Section 1.11 of these bylaws, as applicable). If directors are to be elected by a plurality of the votes cast, stockholders shall not be permitted to vote against a nominee. Unless otherwise provided by applicable law, the rules of any stock exchange upon which the Corporation’s securities are listed, the Amended and Restated Certificate of Incorporation or these Bylaws, every matter other than a Contested Election shall be decided by a majority of the votes cast for or against the matter.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In order for any person to become a nominee of the Board for service on the Board, such person must submit a resignation, contingent (i) on that person not receiving the required vote for election, and (ii) acceptance of that resignation by the Board in accordance with policies and procedures adopted by the Board for such purposes. A resignation pursuant to this Section 1.7(b) shall provide that it is irrevocable.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1.8</w:t>
      </w:r>
      <w:r>
        <w:rPr>
          <w:rFonts w:ascii="Times New Roman;serif" w:hAnsi="Times New Roman;serif"/>
          <w:b/>
          <w:color w:val="000000"/>
          <w:sz w:val="20"/>
        </w:rPr>
        <w:t xml:space="preserve">: </w:t>
      </w:r>
      <w:r>
        <w:rPr>
          <w:rFonts w:ascii="Times New Roman;serif" w:hAnsi="Times New Roman;serif"/>
          <w:b/>
          <w:color w:val="000000"/>
          <w:sz w:val="20"/>
          <w:u w:val="single"/>
        </w:rPr>
        <w:t>Fixing Date for Determination of Stockholders of Record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In order that the Corporation may determine the stockholders entitled to notice of or to vote at any meeting of stockholders or entitled to receive payment of any dividend or other distribution or allotment of any rights, or entitled to exercise any rights in respect of any change, conversion or exchange of stock or for the purpose of any other lawful action, unless otherwise required by law, the Board may fix, in advance, a record date, which shall not precede the date upon which the resolution fixing the record date is adopted by the Board and which shall not be more than sixty (60), nor less than ten (10), days before the date of such meeting, nor more than sixty (60) days prior to any other action. If no record date is fixed by the Board, then the record date shall be as provided by applicable law. To the fullest extent permitted by law, a determination of stockholders of record entitled to notice of or to vote at a meeting of stockholders shall apply to any adjournment of the meeting; </w:t>
      </w:r>
      <w:r>
        <w:rPr>
          <w:rFonts w:ascii="Times New Roman;serif" w:hAnsi="Times New Roman;serif"/>
          <w:b w:val="false"/>
          <w:i/>
          <w:color w:val="000000"/>
          <w:sz w:val="20"/>
          <w:u w:val="single"/>
        </w:rPr>
        <w:t>provided</w:t>
      </w:r>
      <w:r>
        <w:rPr>
          <w:rFonts w:ascii="Times New Roman;serif" w:hAnsi="Times New Roman;serif"/>
          <w:b w:val="false"/>
          <w:i/>
          <w:color w:val="000000"/>
          <w:sz w:val="20"/>
        </w:rPr>
        <w:t xml:space="preserve">, </w:t>
      </w:r>
      <w:r>
        <w:rPr>
          <w:rFonts w:ascii="Times New Roman;serif" w:hAnsi="Times New Roman;serif"/>
          <w:b w:val="false"/>
          <w:i/>
          <w:color w:val="000000"/>
          <w:sz w:val="20"/>
          <w:u w:val="single"/>
        </w:rPr>
        <w:t>however</w:t>
      </w:r>
      <w:r>
        <w:rPr>
          <w:rFonts w:ascii="Times New Roman;serif" w:hAnsi="Times New Roman;serif"/>
          <w:b w:val="false"/>
          <w:color w:val="000000"/>
          <w:sz w:val="20"/>
        </w:rPr>
        <w:t xml:space="preserve">, that the Board may fix a new record date for the adjourned meeting.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color w:val="000000"/>
          <w:sz w:val="20"/>
          <w:u w:val="single"/>
        </w:rPr>
        <w:t>Section 1.9</w:t>
      </w:r>
      <w:r>
        <w:rPr>
          <w:rFonts w:ascii="Times New Roman;serif" w:hAnsi="Times New Roman;serif"/>
          <w:b/>
          <w:color w:val="000000"/>
          <w:sz w:val="20"/>
        </w:rPr>
        <w:t xml:space="preserve">: </w:t>
      </w:r>
      <w:r>
        <w:rPr>
          <w:rFonts w:ascii="Times New Roman;serif" w:hAnsi="Times New Roman;serif"/>
          <w:b/>
          <w:color w:val="000000"/>
          <w:sz w:val="20"/>
          <w:u w:val="single"/>
        </w:rPr>
        <w:t>List of Stockholders Entitled to Vote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A complete list of stockholders entitled to vote at any meeting of stockholders, arranged in alphabetical order 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1.10</w:t>
      </w:r>
      <w:r>
        <w:rPr>
          <w:rFonts w:ascii="Times New Roman;serif" w:hAnsi="Times New Roman;serif"/>
          <w:b/>
          <w:color w:val="000000"/>
          <w:sz w:val="20"/>
        </w:rPr>
        <w:t xml:space="preserve">: </w:t>
      </w:r>
      <w:r>
        <w:rPr>
          <w:rFonts w:ascii="Times New Roman;serif" w:hAnsi="Times New Roman;serif"/>
          <w:b/>
          <w:color w:val="000000"/>
          <w:sz w:val="20"/>
          <w:u w:val="single"/>
        </w:rPr>
        <w:t>Inspectors of Elections</w:t>
      </w:r>
      <w:r>
        <w:rPr>
          <w:rFonts w:ascii="Times New Roman;serif" w:hAnsi="Times New Roman;serif"/>
          <w:b/>
          <w:color w:val="000000"/>
          <w:sz w:val="20"/>
        </w:rPr>
        <w:t>.</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1.10.1 </w:t>
      </w:r>
      <w:r>
        <w:rPr>
          <w:rFonts w:ascii="Times New Roman;serif" w:hAnsi="Times New Roman;serif"/>
          <w:b w:val="false"/>
          <w:color w:val="000000"/>
          <w:sz w:val="20"/>
          <w:u w:val="single"/>
        </w:rPr>
        <w:t>Applicability</w:t>
      </w:r>
      <w:r>
        <w:rPr>
          <w:rFonts w:ascii="Times New Roman;serif" w:hAnsi="Times New Roman;serif"/>
          <w:b w:val="false"/>
          <w:color w:val="000000"/>
          <w:sz w:val="20"/>
        </w:rPr>
        <w:t xml:space="preserve">. Unless otherwise required by the Certificate of Incorporation or by the DGCL,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1.10.2 </w:t>
      </w:r>
      <w:r>
        <w:rPr>
          <w:rFonts w:ascii="Times New Roman;serif" w:hAnsi="Times New Roman;serif"/>
          <w:b w:val="false"/>
          <w:color w:val="000000"/>
          <w:sz w:val="20"/>
          <w:u w:val="single"/>
        </w:rPr>
        <w:t>Appointment</w:t>
      </w:r>
      <w:r>
        <w:rPr>
          <w:rFonts w:ascii="Times New Roman;serif" w:hAnsi="Times New Roman;serif"/>
          <w:b w:val="false"/>
          <w:color w:val="000000"/>
          <w:sz w:val="20"/>
        </w:rPr>
        <w:t xml:space="preserve">.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1.10.3 </w:t>
      </w:r>
      <w:r>
        <w:rPr>
          <w:rFonts w:ascii="Times New Roman;serif" w:hAnsi="Times New Roman;serif"/>
          <w:b w:val="false"/>
          <w:color w:val="000000"/>
          <w:sz w:val="20"/>
          <w:u w:val="single"/>
        </w:rPr>
        <w:t>Inspector’s Oath</w:t>
      </w:r>
      <w:r>
        <w:rPr>
          <w:rFonts w:ascii="Times New Roman;serif" w:hAnsi="Times New Roman;serif"/>
          <w:b w:val="false"/>
          <w:color w:val="000000"/>
          <w:sz w:val="20"/>
        </w:rPr>
        <w:t xml:space="preserve">. Each inspector of election, before entering upon the discharge of his duties, shall take and sign an oath faithfully to execute the duties of inspector with strict impartiality and according to the best of such inspector’s ability.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1.10.4 </w:t>
      </w:r>
      <w:r>
        <w:rPr>
          <w:rFonts w:ascii="Times New Roman;serif" w:hAnsi="Times New Roman;serif"/>
          <w:b w:val="false"/>
          <w:color w:val="000000"/>
          <w:sz w:val="20"/>
          <w:u w:val="single"/>
        </w:rPr>
        <w:t>Duties of Inspectors</w:t>
      </w:r>
      <w:r>
        <w:rPr>
          <w:rFonts w:ascii="Times New Roman;serif" w:hAnsi="Times New Roman;serif"/>
          <w:b w:val="false"/>
          <w:color w:val="000000"/>
          <w:sz w:val="20"/>
        </w:rPr>
        <w:t xml:space="preserve">.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1.10.5 </w:t>
      </w:r>
      <w:r>
        <w:rPr>
          <w:rFonts w:ascii="Times New Roman;serif" w:hAnsi="Times New Roman;serif"/>
          <w:b w:val="false"/>
          <w:color w:val="000000"/>
          <w:sz w:val="20"/>
          <w:u w:val="single"/>
        </w:rPr>
        <w:t>Opening and Closing of Polls</w:t>
      </w:r>
      <w:r>
        <w:rPr>
          <w:rFonts w:ascii="Times New Roman;serif" w:hAnsi="Times New Roman;serif"/>
          <w:b w:val="false"/>
          <w:color w:val="000000"/>
          <w:sz w:val="20"/>
        </w:rPr>
        <w:t xml:space="preserve">.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upon application by a stockholder shall determine otherwise.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1.10.6 </w:t>
      </w:r>
      <w:r>
        <w:rPr>
          <w:rFonts w:ascii="Times New Roman;serif" w:hAnsi="Times New Roman;serif"/>
          <w:b w:val="false"/>
          <w:color w:val="000000"/>
          <w:sz w:val="20"/>
          <w:u w:val="single"/>
        </w:rPr>
        <w:t>Determinations</w:t>
      </w:r>
      <w:r>
        <w:rPr>
          <w:rFonts w:ascii="Times New Roman;serif" w:hAnsi="Times New Roman;serif"/>
          <w:b w:val="false"/>
          <w:color w:val="000000"/>
          <w:sz w:val="20"/>
        </w:rPr>
        <w:t xml:space="preserve">. In determining the validity and counting of proxies and ballots, the inspectors shall be limited to an examination of the proxies, any envelopes submitted with those proxies, any information provided in connection with proxies in accordance with any information provided pursuant to Section 211(a)(2)(b)(i) or (iii) of the DGCL, or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1.11</w:t>
      </w:r>
      <w:r>
        <w:rPr>
          <w:rFonts w:ascii="Times New Roman;serif" w:hAnsi="Times New Roman;serif"/>
          <w:b/>
          <w:color w:val="000000"/>
          <w:sz w:val="20"/>
        </w:rPr>
        <w:t xml:space="preserve">: </w:t>
      </w:r>
      <w:r>
        <w:rPr>
          <w:rFonts w:ascii="Times New Roman;serif" w:hAnsi="Times New Roman;serif"/>
          <w:b/>
          <w:color w:val="000000"/>
          <w:sz w:val="20"/>
          <w:u w:val="single"/>
        </w:rPr>
        <w:t>Notice of Stockholder Business; Nominations</w:t>
      </w:r>
      <w:r>
        <w:rPr>
          <w:rFonts w:ascii="Times New Roman;serif" w:hAnsi="Times New Roman;serif"/>
          <w:b/>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1.11.1 </w:t>
      </w:r>
      <w:r>
        <w:rPr>
          <w:rFonts w:ascii="Times New Roman;serif" w:hAnsi="Times New Roman;serif"/>
          <w:b w:val="false"/>
          <w:color w:val="000000"/>
          <w:sz w:val="20"/>
          <w:u w:val="single"/>
        </w:rPr>
        <w:t>Annual Meeting of Stockholders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1260"/>
        <w:jc w:val="left"/>
        <w:rPr/>
      </w:pPr>
      <w:r>
        <w:rPr>
          <w:rFonts w:ascii="Times New Roman;serif" w:hAnsi="Times New Roman;serif"/>
          <w:b w:val="false"/>
          <w:color w:val="000000"/>
          <w:sz w:val="20"/>
        </w:rPr>
        <w:t>(a) Nominations of persons for election to the Board and the proposal of business to be considered by the stockholders shall be made at an annual meeting of stockholders (i) pursuant to the Corporation’s notice of such meeting, (ii) by or at the direction of the Board or (iii) by any stockholder of the Corporation who was a stockholder of record at the time of giving of the notice provided for in this Section 1.11, who is entitled to vote at such meeting and who complies with the notice procedures set forth in this Section 1.11.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at an annual meeting of stockholders. </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(b) For nominations or other business to be properly brought before an annual meeting by a stockholder pursuant to Section 1.11.1(a): </w:t>
      </w:r>
    </w:p>
    <w:p>
      <w:pPr>
        <w:pStyle w:val="TextBody"/>
        <w:bidi w:val="0"/>
        <w:spacing w:before="0" w:after="0"/>
        <w:jc w:val="left"/>
        <w:rPr/>
      </w:pPr>
      <w:r>
        <w:rPr/>
      </w:r>
    </w:p>
    <w:p>
      <w:pPr>
        <w:pStyle w:val="TextBody"/>
        <w:bidi w:val="0"/>
        <w:spacing w:lineRule="auto" w:line="268" w:before="0" w:after="0"/>
        <w:ind w:left="0" w:right="0" w:firstLine="1800"/>
        <w:jc w:val="left"/>
        <w:rPr>
          <w:rFonts w:ascii="Times New Roman;serif" w:hAnsi="Times New Roman;serif"/>
          <w:b w:val="false"/>
          <w:color w:val="000000"/>
          <w:sz w:val="20"/>
        </w:rPr>
      </w:pPr>
      <w:r>
        <w:rPr>
          <w:rFonts w:ascii="Times New Roman;serif" w:hAnsi="Times New Roman;serif"/>
          <w:b w:val="false"/>
          <w:color w:val="000000"/>
          <w:sz w:val="20"/>
        </w:rPr>
        <w:t xml:space="preserve">(i) the stockholder must have given timely notice thereof in writing to the Secretary of the Corporation; </w:t>
      </w:r>
    </w:p>
    <w:p>
      <w:pPr>
        <w:pStyle w:val="TextBody"/>
        <w:bidi w:val="0"/>
        <w:spacing w:before="0" w:after="0"/>
        <w:jc w:val="left"/>
        <w:rPr/>
      </w:pPr>
      <w:r>
        <w:rPr/>
      </w:r>
    </w:p>
    <w:p>
      <w:pPr>
        <w:pStyle w:val="TextBody"/>
        <w:bidi w:val="0"/>
        <w:spacing w:lineRule="auto" w:line="268" w:before="0" w:after="0"/>
        <w:ind w:left="0" w:right="0" w:firstLine="1800"/>
        <w:jc w:val="left"/>
        <w:rPr>
          <w:rFonts w:ascii="Times New Roman;serif" w:hAnsi="Times New Roman;serif"/>
          <w:b w:val="false"/>
          <w:color w:val="000000"/>
          <w:sz w:val="20"/>
        </w:rPr>
      </w:pPr>
      <w:r>
        <w:rPr>
          <w:rFonts w:ascii="Times New Roman;serif" w:hAnsi="Times New Roman;serif"/>
          <w:b w:val="false"/>
          <w:color w:val="000000"/>
          <w:sz w:val="20"/>
        </w:rPr>
        <w:t xml:space="preserve">(ii) such other business must otherwise be a proper matter for stockholder action; </w:t>
      </w:r>
    </w:p>
    <w:p>
      <w:pPr>
        <w:pStyle w:val="TextBody"/>
        <w:bidi w:val="0"/>
        <w:spacing w:before="0" w:after="0"/>
        <w:jc w:val="left"/>
        <w:rPr/>
      </w:pPr>
      <w:r>
        <w:rPr/>
      </w:r>
    </w:p>
    <w:p>
      <w:pPr>
        <w:pStyle w:val="TextBody"/>
        <w:bidi w:val="0"/>
        <w:spacing w:lineRule="auto" w:line="268" w:before="0" w:after="0"/>
        <w:ind w:left="0" w:right="0" w:firstLine="1800"/>
        <w:jc w:val="left"/>
        <w:rPr>
          <w:rFonts w:ascii="Times New Roman;serif" w:hAnsi="Times New Roman;serif"/>
          <w:b w:val="false"/>
          <w:color w:val="000000"/>
          <w:sz w:val="20"/>
        </w:rPr>
      </w:pPr>
      <w:r>
        <w:rPr>
          <w:rFonts w:ascii="Times New Roman;serif" w:hAnsi="Times New Roman;serif"/>
          <w:b w:val="false"/>
          <w:color w:val="000000"/>
          <w:sz w:val="20"/>
        </w:rPr>
        <w:t xml:space="preserve">(iii) if the stockholder, or the beneficial owner on whose behalf any such proposal or nomination is made, has provided the Corporation with a Solicitation Notice, as that term is defined in this Section,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 </w:t>
      </w:r>
    </w:p>
    <w:p>
      <w:pPr>
        <w:pStyle w:val="TextBody"/>
        <w:bidi w:val="0"/>
        <w:spacing w:before="0" w:after="0"/>
        <w:jc w:val="left"/>
        <w:rPr/>
      </w:pPr>
      <w:r>
        <w:rPr/>
      </w:r>
    </w:p>
    <w:p>
      <w:pPr>
        <w:pStyle w:val="TextBody"/>
        <w:bidi w:val="0"/>
        <w:spacing w:lineRule="auto" w:line="268" w:before="0" w:after="0"/>
        <w:ind w:left="0" w:right="0" w:firstLine="1800"/>
        <w:jc w:val="left"/>
        <w:rPr>
          <w:rFonts w:ascii="Times New Roman;serif" w:hAnsi="Times New Roman;serif"/>
          <w:b w:val="false"/>
          <w:color w:val="000000"/>
          <w:sz w:val="20"/>
        </w:rPr>
      </w:pPr>
      <w:r>
        <w:rPr>
          <w:rFonts w:ascii="Times New Roman;serif" w:hAnsi="Times New Roman;serif"/>
          <w:b w:val="false"/>
          <w:color w:val="000000"/>
          <w:sz w:val="20"/>
        </w:rPr>
        <w:t>(iv)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To be timely, a stockholder’s notice must be delivered to the Secretary at the principal executive offices of the Corporation not later than the close of business on the seventy-fifth (75th) day nor earlier than the close of business on the one hundred and fifth (105th) day prior to the first anniversary of the preceding year’s annual meeting (except in the case of the Corporation’s first annual meeting following its initial public offering, for which such notice shall be timely if delivered in the same time period as if such meeting were a special meeting governed by Section 1.11.2); </w:t>
      </w:r>
      <w:r>
        <w:rPr>
          <w:rFonts w:ascii="Times New Roman;serif" w:hAnsi="Times New Roman;serif"/>
          <w:b w:val="false"/>
          <w:i/>
          <w:color w:val="000000"/>
          <w:sz w:val="20"/>
          <w:u w:val="single"/>
        </w:rPr>
        <w:t>provided</w:t>
      </w:r>
      <w:r>
        <w:rPr>
          <w:rFonts w:ascii="Times New Roman;serif" w:hAnsi="Times New Roman;serif"/>
          <w:b w:val="false"/>
          <w:i/>
          <w:color w:val="000000"/>
          <w:sz w:val="20"/>
        </w:rPr>
        <w:t xml:space="preserve">, </w:t>
      </w:r>
      <w:r>
        <w:rPr>
          <w:rFonts w:ascii="Times New Roman;serif" w:hAnsi="Times New Roman;serif"/>
          <w:b w:val="false"/>
          <w:i/>
          <w:color w:val="000000"/>
          <w:sz w:val="20"/>
          <w:u w:val="single"/>
        </w:rPr>
        <w:t>however</w:t>
      </w:r>
      <w:r>
        <w:rPr>
          <w:rFonts w:ascii="Times New Roman;serif" w:hAnsi="Times New Roman;serif"/>
          <w:b w:val="false"/>
          <w:color w:val="000000"/>
          <w:sz w:val="20"/>
        </w:rPr>
        <w:t xml:space="preserve">, that in the event that the date of the annual meeting is more than thirty (30) days before or more than sixty (60) days after such anniversary date, notice by the stockholder to be timely must be so delivered (A) no earlier than the close of business on the one hundred and fifth (105th) day prior to currently proposed annual meeting and (B) no later than the close of business on the later of the seventy-fifth (75th) day prior to such annual meeting or the close of business on the tenth (10th) day following the day on which Public Announcement of the date of such meeting is first made by the Corporation. Such stockholder’s notice shall set forth: </w:t>
      </w:r>
    </w:p>
    <w:p>
      <w:pPr>
        <w:pStyle w:val="TextBody"/>
        <w:bidi w:val="0"/>
        <w:spacing w:before="0" w:after="0"/>
        <w:jc w:val="left"/>
        <w:rPr/>
      </w:pPr>
      <w:r>
        <w:rPr/>
      </w:r>
    </w:p>
    <w:p>
      <w:pPr>
        <w:pStyle w:val="TextBody"/>
        <w:bidi w:val="0"/>
        <w:spacing w:lineRule="auto" w:line="268" w:before="0" w:after="0"/>
        <w:ind w:left="0" w:right="0" w:firstLine="1800"/>
        <w:jc w:val="left"/>
        <w:rPr>
          <w:rFonts w:ascii="Times New Roman;serif" w:hAnsi="Times New Roman;serif"/>
          <w:b w:val="false"/>
          <w:color w:val="000000"/>
          <w:sz w:val="20"/>
        </w:rPr>
      </w:pPr>
      <w:r>
        <w:rPr>
          <w:rFonts w:ascii="Times New Roman;serif" w:hAnsi="Times New Roman;serif"/>
          <w:b w:val="false"/>
          <w:color w:val="000000"/>
          <w:sz w:val="20"/>
        </w:rPr>
        <w:t xml:space="preserve">(x) as to each person whom the stockholder proposes to nominate for election or reelection as a director all information relating to such person that would be required to be disclosed in solicitations of proxies for election of directors, or would be otherwise required, in each case pursuant to Regulation 14A under the Exchange Act, including such person’s written consent to being named in the proxy statement as a nominee and to serving as a director if elected;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18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ind w:left="0" w:right="0" w:firstLine="1800"/>
        <w:jc w:val="left"/>
        <w:rPr>
          <w:rFonts w:ascii="Times New Roman;serif" w:hAnsi="Times New Roman;serif"/>
          <w:b w:val="false"/>
          <w:color w:val="000000"/>
          <w:sz w:val="20"/>
        </w:rPr>
      </w:pPr>
      <w:r>
        <w:rPr>
          <w:rFonts w:ascii="Times New Roman;serif" w:hAnsi="Times New Roman;serif"/>
          <w:b w:val="false"/>
          <w:color w:val="000000"/>
          <w:sz w:val="20"/>
        </w:rPr>
        <w:t xml:space="preserve">(y)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w:t>
      </w:r>
    </w:p>
    <w:p>
      <w:pPr>
        <w:pStyle w:val="TextBody"/>
        <w:bidi w:val="0"/>
        <w:spacing w:before="0" w:after="0"/>
        <w:jc w:val="left"/>
        <w:rPr/>
      </w:pPr>
      <w:r>
        <w:rPr/>
      </w:r>
    </w:p>
    <w:p>
      <w:pPr>
        <w:pStyle w:val="TextBody"/>
        <w:bidi w:val="0"/>
        <w:spacing w:lineRule="auto" w:line="268" w:before="0" w:after="0"/>
        <w:ind w:left="0" w:right="0" w:firstLine="1800"/>
        <w:jc w:val="left"/>
        <w:rPr/>
      </w:pPr>
      <w:r>
        <w:rPr>
          <w:rFonts w:ascii="Times New Roman;serif" w:hAnsi="Times New Roman;serif"/>
          <w:b w:val="false"/>
          <w:color w:val="000000"/>
          <w:sz w:val="20"/>
        </w:rPr>
        <w:t>(z) as to the stockholder giving the notice and the beneficial owner, if any, on whose behalf the nomination or proposal is made, (aa) the name and address of such stockholder, as they appear on the Corporation’s books, and of such beneficial owner, (bb) the class and number of shares of the Corporation that are owned beneficially and held of record by such stockholder and such beneficial owner, (cc) a description of any agreement, arrangement or understanding with respect to the nomination or proposal between or among such stockholder and such beneficial owner, any of their respective affiliates or associates, and any others acting in concert with any of the foregoing, (dd)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and such beneficial owners, the effect or intent of which is to mitigate loss to, manage risk or benefit of share price changes for, or increase or decrease the voting power of, such stockholder or such beneficial owner, with respect to shares of stock of the Corporation, (ee) a representation that the stockholder is a holder of record of stock of the Corporation entitled to vote at such meeting and intends to appear in person or by proxy at the meeting to propose such business or nomination and (ff) 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Times New Roman;serif" w:hAnsi="Times New Roman;serif"/>
          <w:b/>
          <w:i/>
          <w:color w:val="000000"/>
          <w:sz w:val="20"/>
        </w:rPr>
        <w:t>Solicitation Notice</w:t>
      </w:r>
      <w:r>
        <w:rPr>
          <w:color w:val="000000"/>
        </w:rPr>
        <w:t>”</w:t>
      </w:r>
      <w:r>
        <w:rPr>
          <w:rFonts w:ascii="Times New Roman;serif" w:hAnsi="Times New Roman;serif"/>
          <w:b w:val="false"/>
          <w:color w:val="000000"/>
          <w:sz w:val="20"/>
        </w:rPr>
        <w:t>). If requested by the Corporation, the information required under clauses (bb), (cc) and (dd) of this subparagraph (z) shall be supplemented by such stockholder and beneficial owner, if any, not later than 10 days after the record date for the meeting to disclose such information as of the record date.</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(c) Notwithstanding anything in the second sentence of Section 1.11.1(b) to the contrary, in the event that the number of directors to be elected to the Board is increased and there is no Public Announcement by the Corporation naming all of the nominees for director or specifying the size of the increased Board at least seventy five (75) days prior to the first anniversary of the preceding year’s annual meeting (or, if the annual meeting is held more than thirty (30) days before or sixty (60) days after such anniversary date, at least seventy five (75) days prior to such annual meeting), a stockholder’s notice required by this Section 1.11 shall also be considered timely, but only with respect to nominees for any new positions created by such increase, if it shall be delivered to the Secretary of the Corporation at the principal executive office of the Corporation no later than the close of business on the tenth (10th) day following the day on which such Public Announcement is first made by the 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1.11.2 </w:t>
      </w:r>
      <w:r>
        <w:rPr>
          <w:rFonts w:ascii="Times New Roman;serif" w:hAnsi="Times New Roman;serif"/>
          <w:b w:val="false"/>
          <w:color w:val="000000"/>
          <w:sz w:val="20"/>
          <w:u w:val="single"/>
        </w:rPr>
        <w:t>Special Meetings of Stockholders</w:t>
      </w:r>
      <w:r>
        <w:rPr>
          <w:rFonts w:ascii="Times New Roman;serif" w:hAnsi="Times New Roman;serif"/>
          <w:b w:val="false"/>
          <w:color w:val="000000"/>
          <w:sz w:val="20"/>
        </w:rPr>
        <w:t xml:space="preserve">.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procedures set forth in this Section 1.11.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1.11.1(b) shall be delivered to the Secretary of the Corporation at the principal executive offices of the Corporation (i) no earlier than the one hundred fifth (105th) day prior to such special meeting and (ii) no later than the close of business on the later of the seventy fifth (75th) day prior to such special meeting or the tenth (10th) day following the day on which Public Announcement is first made of the date of the special meeting and of the nominees proposed by the Board to be elected at such meeting.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1.11.3 </w:t>
      </w:r>
      <w:r>
        <w:rPr>
          <w:rFonts w:ascii="Times New Roman;serif" w:hAnsi="Times New Roman;serif"/>
          <w:b w:val="false"/>
          <w:color w:val="000000"/>
          <w:sz w:val="20"/>
          <w:u w:val="single"/>
        </w:rPr>
        <w:t>General</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(a) Only such persons who are nominated in accordance with the procedures set forth in this Section 1.11 shall be eligible to serve as directors and only such business shall be conducted at a meeting of stockholders as shall have been brought before the meeting in accordance with the procedures set forth in this Section 1.11. Except as otherwise provided by law or these Bylaws, the chairperson of the meeting shall have the power and duty to determine whether a nomination or any business proposed to be brought before the meeting was made or proposed, as the case may be, in accordance with the procedures set forth in this Section 1.11 and, if any proposed nomination or business is not in compliance herewith, to declare that such defective proposal or nomination shall be disregarded.</w:t>
      </w:r>
    </w:p>
    <w:p>
      <w:pPr>
        <w:pStyle w:val="TextBody"/>
        <w:bidi w:val="0"/>
        <w:spacing w:before="0" w:after="0"/>
        <w:jc w:val="left"/>
        <w:rPr/>
      </w:pPr>
      <w:r>
        <w:rPr/>
      </w:r>
    </w:p>
    <w:p>
      <w:pPr>
        <w:pStyle w:val="TextBody"/>
        <w:bidi w:val="0"/>
        <w:spacing w:lineRule="auto" w:line="268" w:before="0" w:after="0"/>
        <w:ind w:left="0" w:right="0" w:firstLine="1260"/>
        <w:jc w:val="left"/>
        <w:rPr/>
      </w:pPr>
      <w:r>
        <w:rPr>
          <w:rFonts w:ascii="Times New Roman;serif" w:hAnsi="Times New Roman;serif"/>
          <w:b w:val="false"/>
          <w:color w:val="000000"/>
          <w:sz w:val="20"/>
        </w:rPr>
        <w:t>(b) For purposes of this Section 1.11, the term “</w:t>
      </w:r>
      <w:r>
        <w:rPr>
          <w:rFonts w:ascii="Times New Roman;serif" w:hAnsi="Times New Roman;serif"/>
          <w:b/>
          <w:i/>
          <w:color w:val="000000"/>
          <w:sz w:val="20"/>
        </w:rPr>
        <w:t>Public Announcement</w:t>
      </w:r>
      <w:r>
        <w:rPr>
          <w:color w:val="000000"/>
        </w:rPr>
        <w:t xml:space="preserve">” </w:t>
      </w:r>
      <w:r>
        <w:rPr>
          <w:rFonts w:ascii="Times New Roman;serif" w:hAnsi="Times New Roman;serif"/>
          <w:b w:val="false"/>
          <w:color w:val="000000"/>
          <w:sz w:val="20"/>
        </w:rPr>
        <w:t>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(c) Notwithstanding the foregoing provisions of this Section 1.11, a stockholder shall also comply with all applicable requirements of the Exchange Act and the rules and regulations thereunder with respect to the matters set forth herein. Nothing in this Section 1.11 shall be deemed to affect any rights of stockholders to request inclusion of proposals in the Corporation’s proxy statement pursuant to Rule 14a-8 under the Exchange Act.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ARTICLE II: BOARD OF DIRECTORS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2.1</w:t>
      </w:r>
      <w:r>
        <w:rPr>
          <w:rFonts w:ascii="Times New Roman;serif" w:hAnsi="Times New Roman;serif"/>
          <w:b/>
          <w:color w:val="000000"/>
          <w:sz w:val="20"/>
        </w:rPr>
        <w:t xml:space="preserve">: </w:t>
      </w:r>
      <w:r>
        <w:rPr>
          <w:rFonts w:ascii="Times New Roman;serif" w:hAnsi="Times New Roman;serif"/>
          <w:b/>
          <w:color w:val="000000"/>
          <w:sz w:val="20"/>
          <w:u w:val="single"/>
        </w:rPr>
        <w:t>Number; Qualifications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Board shall consist of one or more members. The initial number of directors shall be fixed from time to time as set forth in the Certificate of Incorporation. No decrease in the authorized number of directors constituting the Board shall shorten the term of any incumbent director. Directors need not be stockholders of the 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2.2</w:t>
      </w:r>
      <w:r>
        <w:rPr>
          <w:rFonts w:ascii="Times New Roman;serif" w:hAnsi="Times New Roman;serif"/>
          <w:b/>
          <w:color w:val="000000"/>
          <w:sz w:val="20"/>
        </w:rPr>
        <w:t xml:space="preserve">: </w:t>
      </w:r>
      <w:r>
        <w:rPr>
          <w:rFonts w:ascii="Times New Roman;serif" w:hAnsi="Times New Roman;serif"/>
          <w:b/>
          <w:color w:val="000000"/>
          <w:sz w:val="20"/>
          <w:u w:val="single"/>
        </w:rPr>
        <w:t>Election; Resignation; Removal; Vacancies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directors shall be divided, with respect to the time for which they severally hold office, into classes as provided in the Certificate of Incorporation, and vacancies occurring in the Board and any newly created directorships resulting from any increase in the authorized number of directors shall be filled, as provided in the Certificate of Incorporation.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2.3</w:t>
      </w:r>
      <w:r>
        <w:rPr>
          <w:rFonts w:ascii="Times New Roman;serif" w:hAnsi="Times New Roman;serif"/>
          <w:b/>
          <w:color w:val="000000"/>
          <w:sz w:val="20"/>
        </w:rPr>
        <w:t xml:space="preserve">: </w:t>
      </w:r>
      <w:r>
        <w:rPr>
          <w:rFonts w:ascii="Times New Roman;serif" w:hAnsi="Times New Roman;serif"/>
          <w:b/>
          <w:color w:val="000000"/>
          <w:sz w:val="20"/>
          <w:u w:val="single"/>
        </w:rPr>
        <w:t>Regular Meetings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Regular meetings of the Board may be held at such places, within or without the State of Delaware, and at such times as the Board may from time to time determine. Notice of regular meetings need not be given if the date, times and places thereof are fixed by resolution of the Board.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2.4</w:t>
      </w:r>
      <w:r>
        <w:rPr>
          <w:rFonts w:ascii="Times New Roman;serif" w:hAnsi="Times New Roman;serif"/>
          <w:b/>
          <w:color w:val="000000"/>
          <w:sz w:val="20"/>
        </w:rPr>
        <w:t xml:space="preserve">: </w:t>
      </w:r>
      <w:r>
        <w:rPr>
          <w:rFonts w:ascii="Times New Roman;serif" w:hAnsi="Times New Roman;serif"/>
          <w:b/>
          <w:color w:val="000000"/>
          <w:sz w:val="20"/>
          <w:u w:val="single"/>
        </w:rPr>
        <w:t>Special Meetings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Special meetings of the Board may be called by the Chairperson of the Board, the President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2.5</w:t>
      </w:r>
      <w:r>
        <w:rPr>
          <w:rFonts w:ascii="Times New Roman;serif" w:hAnsi="Times New Roman;serif"/>
          <w:b/>
          <w:color w:val="000000"/>
          <w:sz w:val="20"/>
        </w:rPr>
        <w:t xml:space="preserve">: </w:t>
      </w:r>
      <w:r>
        <w:rPr>
          <w:rFonts w:ascii="Times New Roman;serif" w:hAnsi="Times New Roman;serif"/>
          <w:b/>
          <w:color w:val="000000"/>
          <w:sz w:val="20"/>
          <w:u w:val="single"/>
        </w:rPr>
        <w:t>Remote Meetings Permitted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Members of the Board, or any committee of the Board, may participate in a 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color w:val="000000"/>
          <w:sz w:val="20"/>
          <w:u w:val="single"/>
        </w:rPr>
        <w:t>Section 2.6</w:t>
      </w:r>
      <w:r>
        <w:rPr>
          <w:rFonts w:ascii="Times New Roman;serif" w:hAnsi="Times New Roman;serif"/>
          <w:b/>
          <w:color w:val="000000"/>
          <w:sz w:val="20"/>
        </w:rPr>
        <w:t xml:space="preserve">: </w:t>
      </w:r>
      <w:r>
        <w:rPr>
          <w:rFonts w:ascii="Times New Roman;serif" w:hAnsi="Times New Roman;serif"/>
          <w:b/>
          <w:color w:val="000000"/>
          <w:sz w:val="20"/>
          <w:u w:val="single"/>
        </w:rPr>
        <w:t>Quorum; Vote Required for Action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Subject to the Certificate of Incorporation regarding the ability of members of the Board to fill a vacancy occurring in the Board, a majority of the Whole Board shall constitute a quorum for the transaction of business. If a quorum shall fail to attend any meeting, a majority of those present may adjourn the meeting to another place, date or time without further notice thereof. Except as otherwise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provided herein or in the Certificate of Incorporation, or required by law, the vote of a majority of the directors present at a meeting at which a quorum is present shall be the act of the Board.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2.7</w:t>
      </w:r>
      <w:r>
        <w:rPr>
          <w:rFonts w:ascii="Times New Roman;serif" w:hAnsi="Times New Roman;serif"/>
          <w:b/>
          <w:color w:val="000000"/>
          <w:sz w:val="20"/>
        </w:rPr>
        <w:t xml:space="preserve">: </w:t>
      </w:r>
      <w:r>
        <w:rPr>
          <w:rFonts w:ascii="Times New Roman;serif" w:hAnsi="Times New Roman;serif"/>
          <w:b/>
          <w:color w:val="000000"/>
          <w:sz w:val="20"/>
          <w:u w:val="single"/>
        </w:rPr>
        <w:t>Organization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Meetings of the Board shall be presided over by the Chairperson of the Board, or in such person’s absence by the President, or in such person’s absence by a chairperson chosen at the meeting. The Secretary shall act as secretary of the meeting, but in such person’s absence the chairperson of the meeting may appoint any person to act as secretary of the meeting.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2.8</w:t>
      </w:r>
      <w:r>
        <w:rPr>
          <w:rFonts w:ascii="Times New Roman;serif" w:hAnsi="Times New Roman;serif"/>
          <w:b/>
          <w:color w:val="000000"/>
          <w:sz w:val="20"/>
        </w:rPr>
        <w:t xml:space="preserve">: </w:t>
      </w:r>
      <w:r>
        <w:rPr>
          <w:rFonts w:ascii="Times New Roman;serif" w:hAnsi="Times New Roman;serif"/>
          <w:b/>
          <w:color w:val="000000"/>
          <w:sz w:val="20"/>
          <w:u w:val="single"/>
        </w:rPr>
        <w:t>Written Action by Directors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Any action required or permitted to be 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2.9</w:t>
      </w:r>
      <w:r>
        <w:rPr>
          <w:rFonts w:ascii="Times New Roman;serif" w:hAnsi="Times New Roman;serif"/>
          <w:b/>
          <w:color w:val="000000"/>
          <w:sz w:val="20"/>
        </w:rPr>
        <w:t xml:space="preserve">: </w:t>
      </w:r>
      <w:r>
        <w:rPr>
          <w:rFonts w:ascii="Times New Roman;serif" w:hAnsi="Times New Roman;serif"/>
          <w:b/>
          <w:color w:val="000000"/>
          <w:sz w:val="20"/>
          <w:u w:val="single"/>
        </w:rPr>
        <w:t>Powers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Board may, except as otherwise required by law or the Certificate of Incorporation, exercise all such powers and manage and direct all such acts and things as may be exercised or done by the 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2.10</w:t>
      </w:r>
      <w:r>
        <w:rPr>
          <w:rFonts w:ascii="Times New Roman;serif" w:hAnsi="Times New Roman;serif"/>
          <w:b/>
          <w:color w:val="000000"/>
          <w:sz w:val="20"/>
        </w:rPr>
        <w:t xml:space="preserve">: </w:t>
      </w:r>
      <w:r>
        <w:rPr>
          <w:rFonts w:ascii="Times New Roman;serif" w:hAnsi="Times New Roman;serif"/>
          <w:b/>
          <w:color w:val="000000"/>
          <w:sz w:val="20"/>
          <w:u w:val="single"/>
        </w:rPr>
        <w:t>Compensation of Directors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Members of the Board, as such, may receive, pursuant to a resolution of the Board, fees and other compensation for their services as directors, including without limitation their services as members of committees of the Board.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ARTICLE III: COMMITTEES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3.1</w:t>
      </w:r>
      <w:r>
        <w:rPr>
          <w:rFonts w:ascii="Times New Roman;serif" w:hAnsi="Times New Roman;serif"/>
          <w:b/>
          <w:color w:val="000000"/>
          <w:sz w:val="20"/>
        </w:rPr>
        <w:t xml:space="preserve">: </w:t>
      </w:r>
      <w:r>
        <w:rPr>
          <w:rFonts w:ascii="Times New Roman;serif" w:hAnsi="Times New Roman;serif"/>
          <w:b/>
          <w:color w:val="000000"/>
          <w:sz w:val="20"/>
          <w:u w:val="single"/>
        </w:rPr>
        <w:t>Committees</w:t>
      </w:r>
      <w:r>
        <w:rPr>
          <w:rFonts w:ascii="Times New Roman;serif" w:hAnsi="Times New Roman;serif"/>
          <w:b/>
          <w:color w:val="000000"/>
          <w:sz w:val="20"/>
        </w:rPr>
        <w:t xml:space="preserve">. </w:t>
      </w:r>
      <w:r>
        <w:rPr>
          <w:rFonts w:ascii="Times New Roman;serif" w:hAnsi="Times New Roman;serif"/>
          <w:b w:val="false"/>
          <w:color w:val="000000"/>
          <w:sz w:val="20"/>
        </w:rPr>
        <w:t xml:space="preserve">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3.2</w:t>
      </w:r>
      <w:r>
        <w:rPr>
          <w:rFonts w:ascii="Times New Roman;serif" w:hAnsi="Times New Roman;serif"/>
          <w:b/>
          <w:color w:val="000000"/>
          <w:sz w:val="20"/>
        </w:rPr>
        <w:t xml:space="preserve">: </w:t>
      </w:r>
      <w:r>
        <w:rPr>
          <w:rFonts w:ascii="Times New Roman;serif" w:hAnsi="Times New Roman;serif"/>
          <w:b/>
          <w:color w:val="000000"/>
          <w:sz w:val="20"/>
          <w:u w:val="single"/>
        </w:rPr>
        <w:t>Committee Rules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ARTICLE IV: OFFICERS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4.1</w:t>
      </w:r>
      <w:r>
        <w:rPr>
          <w:rFonts w:ascii="Times New Roman;serif" w:hAnsi="Times New Roman;serif"/>
          <w:b/>
          <w:color w:val="000000"/>
          <w:sz w:val="20"/>
        </w:rPr>
        <w:t xml:space="preserve">: </w:t>
      </w:r>
      <w:r>
        <w:rPr>
          <w:rFonts w:ascii="Times New Roman;serif" w:hAnsi="Times New Roman;serif"/>
          <w:b/>
          <w:color w:val="000000"/>
          <w:sz w:val="20"/>
          <w:u w:val="single"/>
        </w:rPr>
        <w:t>Generally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officers of the Corporation shall consist of a Chief Executive Officer (who may be the Chairperson of the Board or the President), a Secretary and a Treasurer and may consist of such other officers, including a Chief Financial Officer and one or more Vice Presidents, as may from time to time be appointed by the Board. All officers shall be elected by the Board; </w:t>
      </w:r>
      <w:r>
        <w:rPr>
          <w:rFonts w:ascii="Times New Roman;serif" w:hAnsi="Times New Roman;serif"/>
          <w:b w:val="false"/>
          <w:i/>
          <w:color w:val="000000"/>
          <w:sz w:val="20"/>
          <w:u w:val="single"/>
        </w:rPr>
        <w:t>provided</w:t>
      </w:r>
      <w:r>
        <w:rPr>
          <w:rFonts w:ascii="Times New Roman;serif" w:hAnsi="Times New Roman;serif"/>
          <w:b w:val="false"/>
          <w:i/>
          <w:color w:val="000000"/>
          <w:sz w:val="20"/>
        </w:rPr>
        <w:t xml:space="preserve">, </w:t>
      </w:r>
      <w:r>
        <w:rPr>
          <w:rFonts w:ascii="Times New Roman;serif" w:hAnsi="Times New Roman;serif"/>
          <w:b w:val="false"/>
          <w:i/>
          <w:color w:val="000000"/>
          <w:sz w:val="20"/>
          <w:u w:val="single"/>
        </w:rPr>
        <w:t>however</w:t>
      </w:r>
      <w:r>
        <w:rPr>
          <w:rFonts w:ascii="Times New Roman;serif" w:hAnsi="Times New Roman;serif"/>
          <w:b w:val="false"/>
          <w:color w:val="000000"/>
          <w:sz w:val="20"/>
        </w:rPr>
        <w:t xml:space="preserve">,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4.2</w:t>
      </w:r>
      <w:r>
        <w:rPr>
          <w:rFonts w:ascii="Times New Roman;serif" w:hAnsi="Times New Roman;serif"/>
          <w:b/>
          <w:color w:val="000000"/>
          <w:sz w:val="20"/>
        </w:rPr>
        <w:t xml:space="preserve">: </w:t>
      </w:r>
      <w:r>
        <w:rPr>
          <w:rFonts w:ascii="Times New Roman;serif" w:hAnsi="Times New Roman;serif"/>
          <w:b/>
          <w:color w:val="000000"/>
          <w:sz w:val="20"/>
          <w:u w:val="single"/>
        </w:rPr>
        <w:t>Chief Executive Officer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Subject to the control of the Board and such supervisory powers, if any, as may be given by the Board, the powers and duties of the Chief Executive Officer of the Corporation are: </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(a) To act as the general manager and, subject to the control of the Board, to have general supervision, direction and control of the business and affairs of the Corporation; </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(b) Subject to Article I, Section 1.6, to preside at all meetings of the stockholders; </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(c) Subject to Article I, Section 1.2, to call special meetings of the stockholders to be held at such times and, subject to the limitations prescribed by law or by these Bylaws, at such places as he or she shall deem proper; </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(d) 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 and </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(e) To vote and otherwise act on, or to authorize any officer to vote or otherwise act on, on behalf of the Corporation, in person or by proxy, at any meeting of stockholders of or with respect to any action of stockholders of any other corporation in which this Corporation may hold securities and otherwise to exercise, or authorize any officer otherwise to exercise, any and all rights and powers which this Corporation may possess by reason of its ownership of securities in such other corporation.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4.3</w:t>
      </w:r>
      <w:r>
        <w:rPr>
          <w:rFonts w:ascii="Times New Roman;serif" w:hAnsi="Times New Roman;serif"/>
          <w:b/>
          <w:color w:val="000000"/>
          <w:sz w:val="20"/>
        </w:rPr>
        <w:t xml:space="preserve">: </w:t>
      </w:r>
      <w:r>
        <w:rPr>
          <w:rFonts w:ascii="Times New Roman;serif" w:hAnsi="Times New Roman;serif"/>
          <w:b/>
          <w:color w:val="000000"/>
          <w:sz w:val="20"/>
          <w:u w:val="single"/>
        </w:rPr>
        <w:t>Chairperson of the Board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Chairperson of the Board shall have the power to preside at all meetings of the Board and shall have such other powers and duties as provided in these Bylaws and as the Board may from time to time prescribe.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4.4</w:t>
      </w:r>
      <w:r>
        <w:rPr>
          <w:rFonts w:ascii="Times New Roman;serif" w:hAnsi="Times New Roman;serif"/>
          <w:b/>
          <w:color w:val="000000"/>
          <w:sz w:val="20"/>
        </w:rPr>
        <w:t xml:space="preserve">: </w:t>
      </w:r>
      <w:r>
        <w:rPr>
          <w:rFonts w:ascii="Times New Roman;serif" w:hAnsi="Times New Roman;serif"/>
          <w:b/>
          <w:color w:val="000000"/>
          <w:sz w:val="20"/>
          <w:u w:val="single"/>
        </w:rPr>
        <w:t>President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Chief Executive Officer shall be the President of the 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4.5</w:t>
      </w:r>
      <w:r>
        <w:rPr>
          <w:rFonts w:ascii="Times New Roman;serif" w:hAnsi="Times New Roman;serif"/>
          <w:b/>
          <w:color w:val="000000"/>
          <w:sz w:val="20"/>
        </w:rPr>
        <w:t xml:space="preserve">: </w:t>
      </w:r>
      <w:r>
        <w:rPr>
          <w:rFonts w:ascii="Times New Roman;serif" w:hAnsi="Times New Roman;serif"/>
          <w:b/>
          <w:color w:val="000000"/>
          <w:sz w:val="20"/>
          <w:u w:val="single"/>
        </w:rPr>
        <w:t>Vice President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Each Vice President shall have all such powers and duties as are commonly incident to the office of Vice President, or that are delegated to him or her by the Board or the Chief Executive Officer. A Vice President may be designated by the Board to perform the duties and exercise the powers of the Chief Executive Officer in the event of the Chief Executive Officer’s absence or disability.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4.6</w:t>
      </w:r>
      <w:r>
        <w:rPr>
          <w:rFonts w:ascii="Times New Roman;serif" w:hAnsi="Times New Roman;serif"/>
          <w:b/>
          <w:color w:val="000000"/>
          <w:sz w:val="20"/>
        </w:rPr>
        <w:t xml:space="preserve">: </w:t>
      </w:r>
      <w:r>
        <w:rPr>
          <w:rFonts w:ascii="Times New Roman;serif" w:hAnsi="Times New Roman;serif"/>
          <w:b/>
          <w:color w:val="000000"/>
          <w:sz w:val="20"/>
          <w:u w:val="single"/>
        </w:rPr>
        <w:t>Chief Financial Officer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Chief Financial Officer shall be the 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4.7</w:t>
      </w:r>
      <w:r>
        <w:rPr>
          <w:rFonts w:ascii="Times New Roman;serif" w:hAnsi="Times New Roman;serif"/>
          <w:b/>
          <w:color w:val="000000"/>
          <w:sz w:val="20"/>
        </w:rPr>
        <w:t xml:space="preserve">: </w:t>
      </w:r>
      <w:r>
        <w:rPr>
          <w:rFonts w:ascii="Times New Roman;serif" w:hAnsi="Times New Roman;serif"/>
          <w:b/>
          <w:color w:val="000000"/>
          <w:sz w:val="20"/>
          <w:u w:val="single"/>
        </w:rPr>
        <w:t>Treasurer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Treasurer shall have custody of all moneys and securities of the Corporation. </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4.8</w:t>
      </w:r>
      <w:r>
        <w:rPr>
          <w:rFonts w:ascii="Times New Roman;serif" w:hAnsi="Times New Roman;serif"/>
          <w:b/>
          <w:color w:val="000000"/>
          <w:sz w:val="20"/>
        </w:rPr>
        <w:t xml:space="preserve">: </w:t>
      </w:r>
      <w:r>
        <w:rPr>
          <w:rFonts w:ascii="Times New Roman;serif" w:hAnsi="Times New Roman;serif"/>
          <w:b/>
          <w:color w:val="000000"/>
          <w:sz w:val="20"/>
          <w:u w:val="single"/>
        </w:rPr>
        <w:t>Secretary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4.9</w:t>
      </w:r>
      <w:r>
        <w:rPr>
          <w:rFonts w:ascii="Times New Roman;serif" w:hAnsi="Times New Roman;serif"/>
          <w:b/>
          <w:color w:val="000000"/>
          <w:sz w:val="20"/>
        </w:rPr>
        <w:t xml:space="preserve">: </w:t>
      </w:r>
      <w:r>
        <w:rPr>
          <w:rFonts w:ascii="Times New Roman;serif" w:hAnsi="Times New Roman;serif"/>
          <w:b/>
          <w:color w:val="000000"/>
          <w:sz w:val="20"/>
          <w:u w:val="single"/>
        </w:rPr>
        <w:t>Delegation of Authority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Board may from time to time delegate the powers or duties of any officer to any other officers or agents, notwithstanding any provision hereof.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4.10</w:t>
      </w:r>
      <w:r>
        <w:rPr>
          <w:rFonts w:ascii="Times New Roman;serif" w:hAnsi="Times New Roman;serif"/>
          <w:b/>
          <w:color w:val="000000"/>
          <w:sz w:val="20"/>
        </w:rPr>
        <w:t xml:space="preserve">: </w:t>
      </w:r>
      <w:r>
        <w:rPr>
          <w:rFonts w:ascii="Times New Roman;serif" w:hAnsi="Times New Roman;serif"/>
          <w:b/>
          <w:color w:val="000000"/>
          <w:sz w:val="20"/>
          <w:u w:val="single"/>
        </w:rPr>
        <w:t>Removal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Any officer of the Corporation shall serve at the pleasure of the Board and may be removed at any time, with or without cause, by the 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ARTICLE V: STOCK</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5.1</w:t>
      </w:r>
      <w:r>
        <w:rPr>
          <w:rFonts w:ascii="Times New Roman;serif" w:hAnsi="Times New Roman;serif"/>
          <w:b/>
          <w:color w:val="000000"/>
          <w:sz w:val="20"/>
        </w:rPr>
        <w:t xml:space="preserve">: </w:t>
      </w:r>
      <w:r>
        <w:rPr>
          <w:rFonts w:ascii="Times New Roman;serif" w:hAnsi="Times New Roman;serif"/>
          <w:b/>
          <w:color w:val="000000"/>
          <w:sz w:val="20"/>
          <w:u w:val="single"/>
        </w:rPr>
        <w:t>Certificates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shares of capital stock of the Corporation shall be represented by certificates; provided, however, that the Board may provide by resolution or resolutions that some or all of any or all classes or series of its stock may be uncertificated shares. Notwithstanding the adoption of such resolution by the Board, each holder of stock represented by certificates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5.2</w:t>
      </w:r>
      <w:r>
        <w:rPr>
          <w:rFonts w:ascii="Times New Roman;serif" w:hAnsi="Times New Roman;serif"/>
          <w:b/>
          <w:color w:val="000000"/>
          <w:sz w:val="20"/>
        </w:rPr>
        <w:t xml:space="preserve">: </w:t>
      </w:r>
      <w:r>
        <w:rPr>
          <w:rFonts w:ascii="Times New Roman;serif" w:hAnsi="Times New Roman;serif"/>
          <w:b/>
          <w:color w:val="000000"/>
          <w:sz w:val="20"/>
          <w:u w:val="single"/>
        </w:rPr>
        <w:t>Lost, Stolen or Destroyed Stock Certificates; Issuance of New Certificates or Uncertificated Shares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5.3</w:t>
      </w:r>
      <w:r>
        <w:rPr>
          <w:rFonts w:ascii="Times New Roman;serif" w:hAnsi="Times New Roman;serif"/>
          <w:b/>
          <w:color w:val="000000"/>
          <w:sz w:val="20"/>
        </w:rPr>
        <w:t xml:space="preserve">: </w:t>
      </w:r>
      <w:r>
        <w:rPr>
          <w:rFonts w:ascii="Times New Roman;serif" w:hAnsi="Times New Roman;serif"/>
          <w:b/>
          <w:color w:val="000000"/>
          <w:sz w:val="20"/>
          <w:u w:val="single"/>
        </w:rPr>
        <w:t>Other Regulations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issue, transfer, conversion and registration of stock certificates and uncertificated securities shall be governed by such other regulations as the Board may establish.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ARTICLE VI: INDEMNIFICATION</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color w:val="000000"/>
          <w:sz w:val="20"/>
          <w:u w:val="single"/>
        </w:rPr>
        <w:t>Section 6.1</w:t>
      </w:r>
      <w:r>
        <w:rPr>
          <w:rFonts w:ascii="Times New Roman;serif" w:hAnsi="Times New Roman;serif"/>
          <w:b/>
          <w:color w:val="000000"/>
          <w:sz w:val="20"/>
        </w:rPr>
        <w:t xml:space="preserve">: </w:t>
      </w:r>
      <w:r>
        <w:rPr>
          <w:rFonts w:ascii="Times New Roman;serif" w:hAnsi="Times New Roman;serif"/>
          <w:b/>
          <w:color w:val="000000"/>
          <w:sz w:val="20"/>
          <w:u w:val="single"/>
        </w:rPr>
        <w:t>Indemnification of Officers and Directors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Each person who was or is made a party to, or is threatened to be made a party to, or is involved in any action, suit or proceeding, whether civil, criminal, administrative or investigative (a “</w:t>
      </w:r>
      <w:r>
        <w:rPr>
          <w:rFonts w:ascii="Times New Roman;serif" w:hAnsi="Times New Roman;serif"/>
          <w:b/>
          <w:i/>
          <w:color w:val="000000"/>
          <w:sz w:val="20"/>
        </w:rPr>
        <w:t>Proceeding</w:t>
      </w:r>
      <w:r>
        <w:rPr>
          <w:color w:val="000000"/>
        </w:rPr>
        <w:t>”</w:t>
      </w:r>
      <w:r>
        <w:rPr>
          <w:rFonts w:ascii="Times New Roman;serif" w:hAnsi="Times New Roman;serif"/>
          <w:b w:val="false"/>
          <w:color w:val="000000"/>
          <w:sz w:val="20"/>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 benefit plans (for purposes of this Article VI, an “</w:t>
      </w:r>
      <w:r>
        <w:rPr>
          <w:rFonts w:ascii="Times New Roman;serif" w:hAnsi="Times New Roman;serif"/>
          <w:b/>
          <w:i/>
          <w:color w:val="000000"/>
          <w:sz w:val="20"/>
        </w:rPr>
        <w:t>Indemnitee</w:t>
      </w:r>
      <w:r>
        <w:rPr>
          <w:color w:val="000000"/>
        </w:rPr>
        <w:t>”</w:t>
      </w:r>
      <w:r>
        <w:rPr>
          <w:rFonts w:ascii="Times New Roman;serif" w:hAnsi="Times New Roman;serif"/>
          <w:b w:val="false"/>
          <w:color w:val="000000"/>
          <w:sz w:val="20"/>
        </w:rPr>
        <w:t xml:space="preserve">), shall be indemnified and held harmless by the Corporation to the fullest extent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Times New Roman;serif" w:hAnsi="Times New Roman;serif"/>
          <w:b/>
          <w:i/>
          <w:color w:val="000000"/>
          <w:sz w:val="20"/>
        </w:rPr>
        <w:t>Reincorporated Predecessor</w:t>
      </w:r>
      <w:r>
        <w:rPr>
          <w:color w:val="000000"/>
        </w:rPr>
        <w:t xml:space="preserve">” </w:t>
      </w:r>
      <w:r>
        <w:rPr>
          <w:rFonts w:ascii="Times New Roman;serif" w:hAnsi="Times New Roman;serif"/>
          <w:b w:val="false"/>
          <w:color w:val="000000"/>
          <w:sz w:val="20"/>
        </w:rPr>
        <w:t xml:space="preserve">means a corporation that is merged with and into the Corporation in a statutory merger where (a) the Corporation is the surviving corporation of such merger; (b) the primary purpose of such merger is to change the corporate domicile of the Reincorporated Predecessor to Delaware. To the extent that a present or former director or officer of the corporation has been successful on the merits or otherwise in defense of any action, suit or proceeding described in this Section 6.1 or in defense of any claim, issue or matter therein, such person shall be indemnified against expenses (including attorneys’ fees) actually and reasonably incurred by such person in connection therewith.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6.2</w:t>
      </w:r>
      <w:r>
        <w:rPr>
          <w:rFonts w:ascii="Times New Roman;serif" w:hAnsi="Times New Roman;serif"/>
          <w:b/>
          <w:color w:val="000000"/>
          <w:sz w:val="20"/>
        </w:rPr>
        <w:t xml:space="preserve">: </w:t>
      </w:r>
      <w:r>
        <w:rPr>
          <w:rFonts w:ascii="Times New Roman;serif" w:hAnsi="Times New Roman;serif"/>
          <w:b/>
          <w:color w:val="000000"/>
          <w:sz w:val="20"/>
          <w:u w:val="single"/>
        </w:rPr>
        <w:t>Advancement of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Except as otherwise provided in a written indemnification agreement between the Corporation and an Indemnitee, the Corporation shall pay all expenses (including attorneys’ fees) incurred by such an Indemnitee in defending any such Proceeding as they are incurred in advance of its final disposition; </w:t>
      </w:r>
      <w:r>
        <w:rPr>
          <w:rFonts w:ascii="Times New Roman;serif" w:hAnsi="Times New Roman;serif"/>
          <w:b w:val="false"/>
          <w:i/>
          <w:color w:val="000000"/>
          <w:sz w:val="20"/>
          <w:u w:val="single"/>
        </w:rPr>
        <w:t>provided</w:t>
      </w:r>
      <w:r>
        <w:rPr>
          <w:rFonts w:ascii="Times New Roman;serif" w:hAnsi="Times New Roman;serif"/>
          <w:b w:val="false"/>
          <w:i/>
          <w:color w:val="000000"/>
          <w:sz w:val="20"/>
        </w:rPr>
        <w:t xml:space="preserve">, </w:t>
      </w:r>
      <w:r>
        <w:rPr>
          <w:rFonts w:ascii="Times New Roman;serif" w:hAnsi="Times New Roman;serif"/>
          <w:b w:val="false"/>
          <w:i/>
          <w:color w:val="000000"/>
          <w:sz w:val="20"/>
          <w:u w:val="single"/>
        </w:rPr>
        <w:t>however</w:t>
      </w:r>
      <w:r>
        <w:rPr>
          <w:rFonts w:ascii="Times New Roman;serif" w:hAnsi="Times New Roman;serif"/>
          <w:b w:val="false"/>
          <w:color w:val="000000"/>
          <w:sz w:val="20"/>
        </w:rPr>
        <w:t xml:space="preserve">, that if the DGCL then so requires, the payment of such expenses incurred by such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 or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6.1 prior to a determination that the person is not entitled to be indemnified by the 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6.3</w:t>
      </w:r>
      <w:r>
        <w:rPr>
          <w:rFonts w:ascii="Times New Roman;serif" w:hAnsi="Times New Roman;serif"/>
          <w:b/>
          <w:color w:val="000000"/>
          <w:sz w:val="20"/>
        </w:rPr>
        <w:t xml:space="preserve">: </w:t>
      </w:r>
      <w:r>
        <w:rPr>
          <w:rFonts w:ascii="Times New Roman;serif" w:hAnsi="Times New Roman;serif"/>
          <w:b/>
          <w:color w:val="000000"/>
          <w:sz w:val="20"/>
          <w:u w:val="single"/>
        </w:rPr>
        <w:t>Non-Exclusivity of Rights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rights conferred on any person in this Article VI shall not be exclusive of any other right that such person may have or 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6.4</w:t>
      </w:r>
      <w:r>
        <w:rPr>
          <w:rFonts w:ascii="Times New Roman;serif" w:hAnsi="Times New Roman;serif"/>
          <w:b/>
          <w:color w:val="000000"/>
          <w:sz w:val="20"/>
        </w:rPr>
        <w:t xml:space="preserve">: </w:t>
      </w:r>
      <w:r>
        <w:rPr>
          <w:rFonts w:ascii="Times New Roman;serif" w:hAnsi="Times New Roman;serif"/>
          <w:b/>
          <w:color w:val="000000"/>
          <w:sz w:val="20"/>
          <w:u w:val="single"/>
        </w:rPr>
        <w:t>Indemnification Contracts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Board is authorized to cause the Corporation to enter into indemnification contracts with any director, officer, employee or agent of the Corporation, or any person serving at the request of the Corporation as a director, officer, employee or agent of another corporation, partnership, joint venture, trust or other enterprise, including employee benefit plans, that provide indemnification or advancement rights to such person. Such rights may be greater than those provided in this Article VI.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6.5</w:t>
      </w:r>
      <w:r>
        <w:rPr>
          <w:rFonts w:ascii="Times New Roman;serif" w:hAnsi="Times New Roman;serif"/>
          <w:b/>
          <w:color w:val="000000"/>
          <w:sz w:val="20"/>
        </w:rPr>
        <w:t xml:space="preserve">: </w:t>
      </w:r>
      <w:r>
        <w:rPr>
          <w:rFonts w:ascii="Times New Roman;serif" w:hAnsi="Times New Roman;serif"/>
          <w:b/>
          <w:color w:val="000000"/>
          <w:sz w:val="20"/>
          <w:u w:val="single"/>
        </w:rPr>
        <w:t>Right of Indemnitee to Bring Suit</w:t>
      </w:r>
      <w:r>
        <w:rPr>
          <w:rFonts w:ascii="Times New Roman;serif" w:hAnsi="Times New Roman;serif"/>
          <w:b/>
          <w:color w:val="000000"/>
          <w:sz w:val="20"/>
        </w:rPr>
        <w:t xml:space="preserve">. </w:t>
      </w:r>
      <w:r>
        <w:rPr>
          <w:rFonts w:ascii="Times New Roman;serif" w:hAnsi="Times New Roman;serif"/>
          <w:b w:val="false"/>
          <w:color w:val="000000"/>
          <w:sz w:val="20"/>
        </w:rPr>
        <w:t xml:space="preserve">The following shall apply to the extent not in conflict with any indemnification contract provided for in Section 6.4 above. </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0"/>
        </w:rPr>
        <w:t xml:space="preserve">6.5.1 </w:t>
      </w:r>
      <w:r>
        <w:rPr>
          <w:rFonts w:ascii="Times New Roman;serif" w:hAnsi="Times New Roman;serif"/>
          <w:b w:val="false"/>
          <w:color w:val="000000"/>
          <w:sz w:val="20"/>
          <w:u w:val="single"/>
        </w:rPr>
        <w:t>Right to Bring Suit</w:t>
      </w:r>
      <w:r>
        <w:rPr>
          <w:rFonts w:ascii="Times New Roman;serif" w:hAnsi="Times New Roman;serif"/>
          <w:b w:val="false"/>
          <w:color w:val="000000"/>
          <w:sz w:val="20"/>
        </w:rPr>
        <w:t xml:space="preserve">. If a claim under Section 6.1 or 6.2 of this Article VI is not paid in full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Corporation within ninety (90) days after a written claim has been received by the Corporation,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6.5.2 </w:t>
      </w:r>
      <w:r>
        <w:rPr>
          <w:rFonts w:ascii="Times New Roman;serif" w:hAnsi="Times New Roman;serif"/>
          <w:b w:val="false"/>
          <w:color w:val="000000"/>
          <w:sz w:val="20"/>
          <w:u w:val="single"/>
        </w:rPr>
        <w:t>Effect of Determination</w:t>
      </w:r>
      <w:r>
        <w:rPr>
          <w:rFonts w:ascii="Times New Roman;serif" w:hAnsi="Times New Roman;serif"/>
          <w:b w:val="false"/>
          <w:color w:val="000000"/>
          <w:sz w:val="20"/>
        </w:rPr>
        <w:t xml:space="preserv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6.5.3 </w:t>
      </w:r>
      <w:r>
        <w:rPr>
          <w:rFonts w:ascii="Times New Roman;serif" w:hAnsi="Times New Roman;serif"/>
          <w:b w:val="false"/>
          <w:color w:val="000000"/>
          <w:sz w:val="20"/>
          <w:u w:val="single"/>
        </w:rPr>
        <w:t>Burden of Proof</w:t>
      </w:r>
      <w:r>
        <w:rPr>
          <w:rFonts w:ascii="Times New Roman;serif" w:hAnsi="Times New Roman;serif"/>
          <w:b w:val="false"/>
          <w:color w:val="000000"/>
          <w:sz w:val="20"/>
        </w:rPr>
        <w:t xml:space="preserve">.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6.6</w:t>
      </w:r>
      <w:r>
        <w:rPr>
          <w:rFonts w:ascii="Times New Roman;serif" w:hAnsi="Times New Roman;serif"/>
          <w:b/>
          <w:color w:val="000000"/>
          <w:sz w:val="20"/>
        </w:rPr>
        <w:t xml:space="preserve">: </w:t>
      </w:r>
      <w:r>
        <w:rPr>
          <w:rFonts w:ascii="Times New Roman;serif" w:hAnsi="Times New Roman;serif"/>
          <w:b/>
          <w:color w:val="000000"/>
          <w:sz w:val="20"/>
          <w:u w:val="single"/>
        </w:rPr>
        <w:t>Nature of Rights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rights conferred upon Indemnitees in this Article VI shall be contract rights 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6.7</w:t>
      </w:r>
      <w:r>
        <w:rPr>
          <w:rFonts w:ascii="Times New Roman;serif" w:hAnsi="Times New Roman;serif"/>
          <w:b/>
          <w:color w:val="000000"/>
          <w:sz w:val="20"/>
        </w:rPr>
        <w:t xml:space="preserve">: </w:t>
      </w:r>
      <w:r>
        <w:rPr>
          <w:rFonts w:ascii="Times New Roman;serif" w:hAnsi="Times New Roman;serif"/>
          <w:b/>
          <w:color w:val="000000"/>
          <w:sz w:val="20"/>
          <w:u w:val="single"/>
        </w:rPr>
        <w:t>Insurance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ARTICLE VII: NOTICES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7.1</w:t>
      </w:r>
      <w:r>
        <w:rPr>
          <w:rFonts w:ascii="Times New Roman;serif" w:hAnsi="Times New Roman;serif"/>
          <w:b/>
          <w:color w:val="000000"/>
          <w:sz w:val="20"/>
        </w:rPr>
        <w:t xml:space="preserve">: </w:t>
      </w:r>
      <w:r>
        <w:rPr>
          <w:rFonts w:ascii="Times New Roman;serif" w:hAnsi="Times New Roman;serif"/>
          <w:b/>
          <w:color w:val="000000"/>
          <w:sz w:val="20"/>
          <w:u w:val="single"/>
        </w:rPr>
        <w:t>Notice</w:t>
      </w:r>
      <w:r>
        <w:rPr>
          <w:rFonts w:ascii="Times New Roman;serif" w:hAnsi="Times New Roman;serif"/>
          <w:b/>
          <w:color w:val="000000"/>
          <w:sz w:val="20"/>
        </w:rPr>
        <w:t>.</w:t>
      </w:r>
      <w:r>
        <w:rPr>
          <w:color w:val="000000"/>
          <w:u w:val="single"/>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7.1.1 </w:t>
      </w:r>
      <w:r>
        <w:rPr>
          <w:rFonts w:ascii="Times New Roman;serif" w:hAnsi="Times New Roman;serif"/>
          <w:b w:val="false"/>
          <w:color w:val="000000"/>
          <w:sz w:val="20"/>
          <w:u w:val="single"/>
        </w:rPr>
        <w:t>Form and Delivery</w:t>
      </w:r>
      <w:r>
        <w:rPr>
          <w:rFonts w:ascii="Times New Roman;serif" w:hAnsi="Times New Roman;serif"/>
          <w:b w:val="false"/>
          <w:color w:val="000000"/>
          <w:sz w:val="20"/>
        </w:rPr>
        <w:t xml:space="preserve">. Except as otherwise specifically required in these Bylaws (including, without limitation, Section 7.1.2 below) or by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prepaid telegram, cablegram,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this Article VII by sending such notice by telegram, cablegram,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telegram, cablegram, facsimile, electronic mail or other form of electronic transmission, when dispatched.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7.1.2 </w:t>
      </w:r>
      <w:r>
        <w:rPr>
          <w:rFonts w:ascii="Times New Roman;serif" w:hAnsi="Times New Roman;serif"/>
          <w:b w:val="false"/>
          <w:color w:val="000000"/>
          <w:sz w:val="20"/>
          <w:u w:val="single"/>
        </w:rPr>
        <w:t>Electronic Transmission</w:t>
      </w:r>
      <w:r>
        <w:rPr>
          <w:rFonts w:ascii="Times New Roman;serif" w:hAnsi="Times New Roman;serif"/>
          <w:b w:val="false"/>
          <w:color w:val="000000"/>
          <w:sz w:val="20"/>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Times New Roman;serif" w:hAnsi="Times New Roman;serif"/>
          <w:b w:val="false"/>
          <w:i/>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u w:val="single"/>
        </w:rPr>
        <w:t>however</w:t>
      </w:r>
      <w:r>
        <w:rPr>
          <w:rFonts w:ascii="Times New Roman;serif" w:hAnsi="Times New Roman;serif"/>
          <w:b w:val="false"/>
          <w:color w:val="000000"/>
          <w:sz w:val="20"/>
        </w:rPr>
        <w:t xml:space="preserve">,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7.1.3 </w:t>
      </w:r>
      <w:r>
        <w:rPr>
          <w:rFonts w:ascii="Times New Roman;serif" w:hAnsi="Times New Roman;serif"/>
          <w:b w:val="false"/>
          <w:color w:val="000000"/>
          <w:sz w:val="20"/>
          <w:u w:val="single"/>
        </w:rPr>
        <w:t>Affidavit of Giving Notice</w:t>
      </w:r>
      <w:r>
        <w:rPr>
          <w:rFonts w:ascii="Times New Roman;serif" w:hAnsi="Times New Roman;serif"/>
          <w:b w:val="false"/>
          <w:color w:val="000000"/>
          <w:sz w:val="20"/>
        </w:rPr>
        <w:t xml:space="preserve">. An affidavit of the Secretary or an Assistant Secretary or of the transfer agent or other agent of the Corporation that the notice has been given in writing or by a form of electronic transmission shall, in the absence of fraud, be prima facie evidence of the facts stated therein.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7.2</w:t>
      </w:r>
      <w:r>
        <w:rPr>
          <w:rFonts w:ascii="Times New Roman;serif" w:hAnsi="Times New Roman;serif"/>
          <w:b/>
          <w:color w:val="000000"/>
          <w:sz w:val="20"/>
        </w:rPr>
        <w:t xml:space="preserve">: </w:t>
      </w:r>
      <w:r>
        <w:rPr>
          <w:rFonts w:ascii="Times New Roman;serif" w:hAnsi="Times New Roman;serif"/>
          <w:b/>
          <w:color w:val="000000"/>
          <w:sz w:val="20"/>
          <w:u w:val="single"/>
        </w:rPr>
        <w:t>Waiver of Notice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ARTICLE VIII: INTERESTED DIRECTORS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8.1</w:t>
      </w:r>
      <w:r>
        <w:rPr>
          <w:rFonts w:ascii="Times New Roman;serif" w:hAnsi="Times New Roman;serif"/>
          <w:b/>
          <w:color w:val="000000"/>
          <w:sz w:val="20"/>
        </w:rPr>
        <w:t xml:space="preserve">: </w:t>
      </w:r>
      <w:r>
        <w:rPr>
          <w:rFonts w:ascii="Times New Roman;serif" w:hAnsi="Times New Roman;serif"/>
          <w:b/>
          <w:color w:val="000000"/>
          <w:sz w:val="20"/>
          <w:u w:val="single"/>
        </w:rPr>
        <w:t>Interested Directors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No contract or transaction between the Corporation and one or more of its 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8.2</w:t>
      </w:r>
      <w:r>
        <w:rPr>
          <w:rFonts w:ascii="Times New Roman;serif" w:hAnsi="Times New Roman;serif"/>
          <w:b/>
          <w:color w:val="000000"/>
          <w:sz w:val="20"/>
        </w:rPr>
        <w:t xml:space="preserve">: </w:t>
      </w:r>
      <w:r>
        <w:rPr>
          <w:rFonts w:ascii="Times New Roman;serif" w:hAnsi="Times New Roman;serif"/>
          <w:b/>
          <w:color w:val="000000"/>
          <w:sz w:val="20"/>
          <w:u w:val="single"/>
        </w:rPr>
        <w:t>Quorum</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Interested directors may be counted in determining the presence of a quorum at a meeting of the Board or of a committee which authorizes the contract or transaction.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ARTICLE IX: MISCELLANEOUS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9.1</w:t>
      </w:r>
      <w:r>
        <w:rPr>
          <w:rFonts w:ascii="Times New Roman;serif" w:hAnsi="Times New Roman;serif"/>
          <w:b/>
          <w:color w:val="000000"/>
          <w:sz w:val="20"/>
        </w:rPr>
        <w:t xml:space="preserve">: </w:t>
      </w:r>
      <w:r>
        <w:rPr>
          <w:rFonts w:ascii="Times New Roman;serif" w:hAnsi="Times New Roman;serif"/>
          <w:b/>
          <w:color w:val="000000"/>
          <w:sz w:val="20"/>
          <w:u w:val="single"/>
        </w:rPr>
        <w:t>Fiscal Year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fiscal year of the Corporation shall be determined by resolution of the Board.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9.2</w:t>
      </w:r>
      <w:r>
        <w:rPr>
          <w:rFonts w:ascii="Times New Roman;serif" w:hAnsi="Times New Roman;serif"/>
          <w:b/>
          <w:color w:val="000000"/>
          <w:sz w:val="20"/>
        </w:rPr>
        <w:t xml:space="preserve">: </w:t>
      </w:r>
      <w:r>
        <w:rPr>
          <w:rFonts w:ascii="Times New Roman;serif" w:hAnsi="Times New Roman;serif"/>
          <w:b/>
          <w:color w:val="000000"/>
          <w:sz w:val="20"/>
          <w:u w:val="single"/>
        </w:rPr>
        <w:t>Seal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Board may provide for a corporate seal, which may have the name of the Corporation inscribed thereon and shall otherwise be in such form as may be approved from time to time by the Board.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9.3</w:t>
      </w:r>
      <w:r>
        <w:rPr>
          <w:rFonts w:ascii="Times New Roman;serif" w:hAnsi="Times New Roman;serif"/>
          <w:b/>
          <w:color w:val="000000"/>
          <w:sz w:val="20"/>
        </w:rPr>
        <w:t xml:space="preserve">: </w:t>
      </w:r>
      <w:r>
        <w:rPr>
          <w:rFonts w:ascii="Times New Roman;serif" w:hAnsi="Times New Roman;serif"/>
          <w:b/>
          <w:color w:val="000000"/>
          <w:sz w:val="20"/>
          <w:u w:val="single"/>
        </w:rPr>
        <w:t>Form of Records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Any records maintained by the Corporation in the regular course of its business, including its stock ledger, books of account and 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9.4</w:t>
      </w:r>
      <w:r>
        <w:rPr>
          <w:rFonts w:ascii="Times New Roman;serif" w:hAnsi="Times New Roman;serif"/>
          <w:b/>
          <w:color w:val="000000"/>
          <w:sz w:val="20"/>
        </w:rPr>
        <w:t xml:space="preserve">: </w:t>
      </w:r>
      <w:r>
        <w:rPr>
          <w:rFonts w:ascii="Times New Roman;serif" w:hAnsi="Times New Roman;serif"/>
          <w:b/>
          <w:color w:val="000000"/>
          <w:sz w:val="20"/>
          <w:u w:val="single"/>
        </w:rPr>
        <w:t>Reliance upon Books and Records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A member of the Board, or a member of any committee designated by the Board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9.5</w:t>
      </w:r>
      <w:r>
        <w:rPr>
          <w:rFonts w:ascii="Times New Roman;serif" w:hAnsi="Times New Roman;serif"/>
          <w:b/>
          <w:color w:val="000000"/>
          <w:sz w:val="20"/>
        </w:rPr>
        <w:t xml:space="preserve">: </w:t>
      </w:r>
      <w:r>
        <w:rPr>
          <w:rFonts w:ascii="Times New Roman;serif" w:hAnsi="Times New Roman;serif"/>
          <w:b/>
          <w:color w:val="000000"/>
          <w:sz w:val="20"/>
          <w:u w:val="single"/>
        </w:rPr>
        <w:t>Certificate of Incorporation Governs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In the event of any conflict between the provisions of the Certificate of Incorporation and Bylaws, the provisions of the Certificate of Incorporation shall govern.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u w:val="single"/>
        </w:rPr>
        <w:t>Section 9.6</w:t>
      </w:r>
      <w:r>
        <w:rPr>
          <w:rFonts w:ascii="Times New Roman;serif" w:hAnsi="Times New Roman;serif"/>
          <w:b/>
          <w:color w:val="000000"/>
          <w:sz w:val="20"/>
        </w:rPr>
        <w:t xml:space="preserve">: </w:t>
      </w:r>
      <w:r>
        <w:rPr>
          <w:rFonts w:ascii="Times New Roman;serif" w:hAnsi="Times New Roman;serif"/>
          <w:b/>
          <w:color w:val="000000"/>
          <w:sz w:val="20"/>
          <w:u w:val="single"/>
        </w:rPr>
        <w:t>Severability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ARTICLE X: AMENDMENT</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of these Bylaws, any amendment or repeal of these Bylaws, or adoption of Bylaws, shall require the approval of the Board or the stockholders of the Corporation as provided in the Certificate of Incorporation.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4238" w:type="dxa"/>
        <w:jc w:val="right"/>
        <w:tblInd w:w="0" w:type="dxa"/>
        <w:tblLayout w:type="fixed"/>
        <w:tblCellMar>
          <w:top w:w="28" w:type="dxa"/>
          <w:left w:w="28" w:type="dxa"/>
          <w:bottom w:w="28" w:type="dxa"/>
          <w:right w:w="28" w:type="dxa"/>
        </w:tblCellMar>
      </w:tblPr>
      <w:tblGrid>
        <w:gridCol w:w="890"/>
        <w:gridCol w:w="782"/>
        <w:gridCol w:w="784"/>
        <w:gridCol w:w="109"/>
        <w:gridCol w:w="109"/>
        <w:gridCol w:w="109"/>
        <w:gridCol w:w="426"/>
        <w:gridCol w:w="426"/>
        <w:gridCol w:w="603"/>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95425" cy="44767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1495425" cy="4476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1"/>
              </w:rPr>
            </w:pPr>
            <w:r>
              <w:rPr>
                <w:rFonts w:ascii="Times New Roman;serif" w:hAnsi="Times New Roman;serif"/>
                <w:b/>
                <w:color w:val="000000"/>
                <w:sz w:val="21"/>
              </w:rPr>
              <w:t>EXHIBIT 99.1</w:t>
            </w:r>
          </w:p>
          <w:p>
            <w:pPr>
              <w:pStyle w:val="TableContents"/>
              <w:bidi w:val="0"/>
              <w:spacing w:before="0" w:after="0"/>
              <w:jc w:val="right"/>
              <w:rPr/>
            </w:pPr>
            <w:r>
              <w:rPr/>
            </w:r>
          </w:p>
          <w:p>
            <w:pPr>
              <w:pStyle w:val="TableContents"/>
              <w:bidi w:val="0"/>
              <w:spacing w:before="0" w:after="0"/>
              <w:jc w:val="right"/>
              <w:rPr/>
            </w:pPr>
            <w:r>
              <w:rPr/>
            </w:r>
          </w:p>
          <w:p>
            <w:pPr>
              <w:pStyle w:val="TableContents"/>
              <w:bidi w:val="0"/>
              <w:spacing w:before="0" w:after="0"/>
              <w:jc w:val="right"/>
              <w:rPr/>
            </w:pPr>
            <w:r>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LendingClub Officially Becomes Happen Bank, Marking a New Chapter for the Digital-First Bank </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Begins trading on Nasdaq under the ticker symbol “HAPN”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SAN FRANCISCO, June 22, 2026/PR Newswire/ — Happen, Inc. (Nasdaq: HAPN) https://www.multivu.com/lending-club/9384851-en-lendingclub-bank-happen-bank-digital-built-help-people-move-forward (formerly LendingClub Corporation) today announced the official launch of the Happen Bank™ brand, marking a significant milestone in its evolution into a digital bank for people who want to make more happen with their money.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Beginning today, Happen Bank’s brand comes to life at www.happen.com, its mobile app, customer communications, advertising, and more. Today also marks the first day that Happen, Inc. common stock will trade on the Nasdaq Stock Market under the HAPN ticker.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We’ve reached an exciting milestone for our company and for the millions of members we serve,” said Scott Sanborn, CEO of Happen Bank. “Becoming Happen Bank and now trading on Nasdaq reflects how far we’ve come in building a modern digital bank designed around people’s real financial needs. The Happen Bank brand more clearly reflects the role we play in consumers’ lives: helping people make things happen with products that are smart, transparent, and easy to use.”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Happen Bank delivers: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Award-winning unsecured personal loans for debt consolidation, home improvement, and affording life’s important moments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Award-winning high-yield savings accounts that reward consistent saving habits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Award-winning checking accounts offering cash back on essentials purchases and for on-time loan payments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Lending decisions in minutes with transparent terms and no hidden fees or gotchas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Mobile-first digital banking experiences designed for real-life moments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Happen Bank products are </w:t>
      </w:r>
      <w:r>
        <w:rPr>
          <w:rFonts w:ascii="Times New Roman;serif" w:hAnsi="Times New Roman;serif"/>
          <w:b w:val="false"/>
          <w:i/>
          <w:color w:val="000000"/>
          <w:sz w:val="22"/>
        </w:rPr>
        <w:t>aligned by design</w:t>
      </w:r>
      <w:r>
        <w:rPr>
          <w:color w:val="000000"/>
        </w:rPr>
        <w:t xml:space="preserve"> </w:t>
      </w:r>
      <w:r>
        <w:rPr>
          <w:rFonts w:ascii="Times New Roman;serif" w:hAnsi="Times New Roman;serif"/>
          <w:b w:val="false"/>
          <w:color w:val="000000"/>
          <w:sz w:val="22"/>
        </w:rPr>
        <w:t>to reward members for their positive financial behaviors. For example, members who have a Happen Bank personal loan have the opportunity to get 2% of their monthly payment in cash back</w:t>
      </w:r>
      <w:r>
        <w:rPr>
          <w:rFonts w:ascii="Times New Roman;serif" w:hAnsi="Times New Roman;serif"/>
          <w:b w:val="false"/>
          <w:color w:val="000000"/>
          <w:sz w:val="14"/>
        </w:rPr>
        <w:t xml:space="preserve">1 </w:t>
      </w:r>
      <w:r>
        <w:rPr>
          <w:rFonts w:ascii="Times New Roman;serif" w:hAnsi="Times New Roman;serif"/>
          <w:b w:val="false"/>
          <w:color w:val="000000"/>
          <w:sz w:val="22"/>
        </w:rPr>
        <w:t>for making on-time loan payments from their LevelUp Checking account – demonstrating that Happen Bank products deliver even more value when used together. And members who contribute at least $250 to their LevelUp Savings account each month – a contribution threshold designed to fit within most of our members' budgets – earn more than 10 times the national average APY.</w:t>
      </w:r>
      <w:r>
        <w:rPr>
          <w:rFonts w:ascii="Times New Roman;serif" w:hAnsi="Times New Roman;serif"/>
          <w:b w:val="false"/>
          <w:color w:val="000000"/>
          <w:sz w:val="14"/>
        </w:rPr>
        <w:t>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Whether it’s consolidating debt, building savings, improving their credit, or planning for what’s next, we clear the way for our members to make meaningful progress and we reward their positive financial behaviors along the way,” said Mark Elliot, Chief Customer Officer of Happen Bank.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 Brand Built for Momentum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The name </w:t>
      </w:r>
      <w:r>
        <w:rPr>
          <w:rFonts w:ascii="Times New Roman;serif" w:hAnsi="Times New Roman;serif"/>
          <w:b/>
          <w:color w:val="000000"/>
          <w:sz w:val="22"/>
        </w:rPr>
        <w:t>Happen Bank</w:t>
      </w:r>
      <w:r>
        <w:rPr>
          <w:color w:val="000000"/>
        </w:rPr>
        <w:t xml:space="preserve"> </w:t>
      </w:r>
      <w:r>
        <w:rPr>
          <w:rFonts w:ascii="Times New Roman;serif" w:hAnsi="Times New Roman;serif"/>
          <w:b w:val="false"/>
          <w:color w:val="000000"/>
          <w:sz w:val="22"/>
        </w:rPr>
        <w:t>is intentional. It signals action, progress, and forward momentum.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brand identity reflects this energy, with a dynamic wordmark and a modern visual system that stands apart from traditional banking conventions.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While the company’s name and visual identity have changed, the foundation that customers know and trust remains unchanged. Happen Bank is still the same FDIC-insured digital bank, operated by the same company and people, serving millions of members with the same commitment to helping them improve their financial lives. Existing accounts, products, login credentials, routing information, and services are unaffected.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This isn’t just a name change – it’s a recognition of who we’ve become,” said Sanborn. “Happen Bank reflects our commitment to helping members turn intention into action and achieve meaningful financial progress.”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t>To mark the official launch, we will be ringing the Nasdaq Opening Bell at 9:30 a.m. ET (6:30 a.m. PT) on</w:t>
      </w:r>
      <w:r>
        <w:rPr>
          <w:color w:val="000000"/>
        </w:rPr>
        <w:t xml:space="preserve"> </w:t>
      </w:r>
      <w:r>
        <w:rPr>
          <w:rFonts w:ascii="Times New Roman;serif" w:hAnsi="Times New Roman;serif"/>
          <w:b w:val="false"/>
          <w:color w:val="000000"/>
          <w:sz w:val="22"/>
        </w:rPr>
        <w:t xml:space="preserve">Tuesday, June 30, 2026, at the Nasdaq MarketSite in Times Square in New York City.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learn more about Happen Bank and its products, visit Happen.com.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Happen Bank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Happen Bank™ – formerly LendingClub Bank – is a digital bank built for the Motivated Middle: high-FICO, high-income, digitally savvy consumers actively managing their financial lives. Our difference? We make it easy for them to access award-winning products that help them keep more of what they earn and earn more on what they save. Our products are aligned by design to reward our five million plus members when they take positive financial steps like saving regularly or making loan payments on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success is fueled by our advanced credit underwriting, a proprietary technology platform engineered for innovation, and a marketplace bank model that drives value for members, loan investors, and shareholders alike. The result is affordable credit, meaningful value, and a trusted banking relationship — delivered consistently and profitably at scale.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Happen Bank exists to clear the way for our members to make it happen.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Happen, Inc. (Nasdaq: HAPN) – formerly LendingClub Corporation – is the parent company and operator of Happen Bank, National Association, Member FDIC. For more information about Happen Bank, visit https://www.happen.com.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Some of the statements in this press release, including statements regarding the benefits of our products and services, are “forward-looking statements.” Words such as “plan”, “expect”, “anticipate” and similar expressions may identify forward-looking statements, although not all forward-looking statements may contain these identifying words. Factors that could cause actual results to differ materially from those contemplated by these forward-looking statements include macroeconomic conditions, competition, demand for our products and services, and those factors set forth in the section titled “Risk Factors” in our most recent Annual Report on Form 10-K, as filed with the Securities and Exchange Commission, as well as in its subsequent filings with the Securities and Exchange Commission. Actual results or events could differ materially from the plans, intentions and expectations disclosed in forward-looking statements, and you should not place undue reliance on forward-looking statements. We do not assume any obligation to update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Media: Press@happen.com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Investors: IR@happen.com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Footnotes</w:t>
      </w:r>
    </w:p>
    <w:p>
      <w:pPr>
        <w:pStyle w:val="TextBody"/>
        <w:bidi w:val="0"/>
        <w:spacing w:lineRule="auto" w:line="288" w:before="60" w:after="283"/>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Loan payment cash back provides members the opportunity to earn 2% cash back for qualifying payments made electronically from Happen Bank LevelUp Checking accounts if they meet all eligibility criteria as described in the applicable product terms and conditions.</w:t>
      </w:r>
    </w:p>
    <w:p>
      <w:pPr>
        <w:pStyle w:val="TextBody"/>
        <w:bidi w:val="0"/>
        <w:spacing w:lineRule="auto" w:line="288" w:before="60" w:after="283"/>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National average source: FDIC as of 5/18/2026.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12464</Words>
  <Characters>64152</Characters>
  <CharactersWithSpaces>76323</CharactersWithSpaces>
  <Paragraphs>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